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天津市静海区市场监督管理局(本级)2023年度部门决算</w:t>
      </w: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pPr>
        <w:autoSpaceDE w:val="0"/>
        <w:autoSpaceDN w:val="0"/>
        <w:adjustRightInd w:val="0"/>
        <w:spacing w:line="600" w:lineRule="exact"/>
        <w:jc w:val="left"/>
        <w:rPr>
          <w:rFonts w:ascii="Times New Roman" w:hAnsi="Times New Roman" w:eastAsia="黑体" w:cs="黑体"/>
          <w:kern w:val="0"/>
          <w:sz w:val="30"/>
          <w:szCs w:val="30"/>
          <w:highlight w:val="none"/>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名词解释</w:t>
      </w:r>
    </w:p>
    <w:p>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第一部分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概</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况</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一、主要职责</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区市场监督管理局贯彻党中央关于市场监督管理、知识产权工作的方针政策，落实党中央、市委和区委关于市场监督管理、知识产权工作的决策部署，在履行职责过程中坚持和加强党对市场监督管理、知识产权工作的集中统一领导。主要职责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一）贯彻执行国家和本市有关市场监督管理和知识产权方面的法律、法规、规章和政策，组织实施质量强国战略、质量立区战略和食品安全战略、标准化战略，编制全区市场监督管理工作发展规划，拟订年度工作计划，并组织实施。负责市场综合监督管理，规范和维护市场秩序，营造诚实守信、公平竞争的市场环境。</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二）负责本区市场主体统一登记注册。指导、负责本区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（三）负责组织实施和指导本区市场监管综合执法工作，组织查处重大违法案件。规范市场监管行政执法行为。</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四）负责本区反垄断统一执法。组织落实本市竞争政策和公平竞争审查制度，依法依授权对经营者集中行为进行反垄断审查,负责垄断协议、滥用市场支配地位和滥用行政权力排除、限制竞争等反垄断执法工作。指导本区企业在国外的反垄断应诉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五）负责监督管理市场秩序。依法监督管理市场交易、网络商品交易及有关服务的行为。依法实施合同、拍卖行为监督管理，管理动产抵押物登记工作。组织查处价格收费违法违规、不正当竞争、违法直销、传销、侵犯商标专利知识产权和制售假冒伪劣行为。指导广告业发展,监督管理广告活动。组织查处无照生产经营和相关无证生产经营行为。指导区消费者协会开展消费维权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（六）负责宏观质量管理。组织实施本市质量发展的制度措施，会同有关部门组织实施重大工程设备质量监理制度，组织重大产品质量事故调查，实施缺陷产品召回制度。监督管理产品防伪工作。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七）负责产品质量安全监督管理。管理产品质量安全风险监控、监督抽检工作。组织实施质量分级制度、质量安全追溯制度。依法查处产品质量违法行为，监督管理产品质量安全仲裁检验、鉴定工作，负责工业产品生产许可管理并实施监督。协助本市纤维质量监督检查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（八）负责特种设备安全监督管理。承担特种设备综合管理和安全监察、监督责任,监督检查高耗能特种设备节能标准和锅炉环境保护标准的执行情况。</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九）负责食品安全监督管理。组织落实本市食品安全重大政策。负责食品安全应急体系建设,组织指导重大食品安全事件应急处置和调查处理工作。建立健全食品安全重要信息直报制度，建立覆盖食品生产、流通、消费全过程的监督检查制度和隐患排查治理机制并组织实施, 防范区域性、系统性食品安全风险。推动建立食品生产经营者落实主体责任的机制，健全食品安全追溯体系。组织开展食品安全监督抽检、风险监测、核查处置和风险预警、风险交流工作。组织实施特殊食品注册、备案和监督管理。</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（十）负责药品零售、医疗器械经营的许可、检查和处罚，以及化妆品经营和药品、医疗器械使用环节质量的检查和处罚。</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（十一）负责统一监督管理计量工作。推行法定计量单位和国家计量制度,执行地方计量检定规程和计量技术规范，依法管理计量器具及量值传递。规范、监督商品量和市场计量行为。</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（十二）负责统一管理标准化工作。组织实施国家标准、地方标准、行业标准，对标准实施情况进行监督检查。负责商品条码监督管理工作。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（十三）负责统一监督管理检验检测工作。规范检验检测市场,组织实施检验检测机构改革,指导协调检验检测行业发展。</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（十四）负责统一监督管理认证认可工作。负责组织实施认证认可和合格评定的证后监督管理工作。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（十五）组织实施本市市场监督管理的科技发展和信息化建设规划。负责本区市场监督管理相关的新闻宣传、教育培训、对外合作交流和信息发布工作。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六）协助单位、个人进行专利申请。管理专利代理、中介、咨询、服务机构。组织重大专利技术项目的产业化开发与推广运用。指导企、事业单位的知识产权工作。调查、统计全区知识产权及其知识产权实施状况。做好专利工作的对外联络、合作与交流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（十七）负责本领域安全生产监督管理工作。</w:t>
      </w:r>
      <w:r>
        <w:rPr>
          <w:rFonts w:hint="eastAsia" w:ascii="Times New Roman" w:hAnsi="Times New Roman" w:eastAsia="仿宋_GB2312" w:cs="仿宋_GB2312"/>
          <w:sz w:val="30"/>
          <w:szCs w:val="30"/>
          <w:highlight w:val="none"/>
          <w:lang w:eastAsia="zh-CN"/>
        </w:rPr>
        <w:tab/>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（十八）配合有关部门推动招商引资工作。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（十九）负责市场监管体系人才队伍建设工作。</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（二十）完成区委、区政府交办的其他任务。</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天津市静海区市场监督管理局（本级）内设17个职能科室；下辖0个预算单位。纳入天津市静海区市场监督管理局(本级)2023年度部门决算编制范围的单位包括：</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1.天津市静海区市场监督管理局（本级）</w:t>
      </w:r>
    </w:p>
    <w:p>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黑体" w:cs="黑体"/>
          <w:b/>
          <w:bCs/>
          <w:kern w:val="0"/>
          <w:sz w:val="30"/>
          <w:szCs w:val="30"/>
          <w:highlight w:val="none"/>
        </w:rPr>
        <w:t>十二、关于空表的说明</w:t>
      </w:r>
    </w:p>
    <w:p>
      <w:pPr>
        <w:widowControl w:val="0"/>
        <w:wordWrap/>
        <w:autoSpaceDE w:val="0"/>
        <w:autoSpaceDN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1.天津市静海区市场监督管理局（本级）2023年度政府性基金预算财政拨款收入支出决算表为空表。</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2.天津市静海区市场监督管理局（本级）2023年度国有资本经营预算财政拨款收入支出决算表为空表。</w:t>
      </w: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第三部分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年度部门决算情况说明</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一、收入支出决算总体情况说明</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zh-CN" w:eastAsia="zh-CN"/>
        </w:rPr>
        <w:t>天津市静海区市场监督管理局(本级)2023年度收入、支出决算总计</w:t>
      </w:r>
      <w:r>
        <w:rPr>
          <w:rFonts w:hint="eastAsia" w:ascii="Times New Roman" w:hAnsi="Times New Roman" w:eastAsia="仿宋_GB2312" w:cs="仿宋_GB2312"/>
          <w:sz w:val="30"/>
          <w:szCs w:val="30"/>
          <w:highlight w:val="none"/>
          <w:lang w:eastAsia="zh-CN"/>
        </w:rPr>
        <w:t>71,256,726.11元，与2022年度相比，收、支总计各增加3,115,544.10元，增长4.57%，</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二、</w:t>
      </w:r>
      <w:r>
        <w:rPr>
          <w:rFonts w:hint="eastAsia" w:ascii="Times New Roman" w:hAnsi="Times New Roman" w:eastAsia="黑体" w:cs="黑体"/>
          <w:b/>
          <w:bCs/>
          <w:kern w:val="0"/>
          <w:sz w:val="30"/>
          <w:szCs w:val="30"/>
          <w:highlight w:val="none"/>
        </w:rPr>
        <w:t>收入决算情况</w:t>
      </w:r>
      <w:r>
        <w:rPr>
          <w:rFonts w:hint="eastAsia" w:ascii="Times New Roman" w:hAnsi="Times New Roman" w:eastAsia="黑体" w:cs="黑体"/>
          <w:b/>
          <w:bCs/>
          <w:kern w:val="0"/>
          <w:sz w:val="30"/>
          <w:szCs w:val="30"/>
          <w:highlight w:val="none"/>
          <w:lang w:val="zh-CN"/>
        </w:rPr>
        <w:t>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天津市静海区市场监督管理局(本级)</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69,918,099.92</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增加3,238,962.04</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财政拨款增加，偿还部分以前年度欠款</w:t>
      </w:r>
    </w:p>
    <w:p>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68,167,882.90</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97.5</w:t>
      </w:r>
      <w:r>
        <w:rPr>
          <w:rFonts w:hint="eastAsia" w:ascii="Times New Roman" w:hAnsi="Times New Roman" w:eastAsia="宋体" w:cs="Times New Roman"/>
          <w:sz w:val="30"/>
          <w:szCs w:val="30"/>
          <w:highlight w:val="none"/>
          <w:lang w:eastAsia="zh-CN"/>
        </w:rPr>
        <w:t>%；</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1,750,217.02元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2.5%</w:t>
      </w:r>
      <w:r>
        <w:rPr>
          <w:rFonts w:hint="eastAsia" w:ascii="Times New Roman" w:hAnsi="Times New Roman" w:eastAsia="仿宋_GB2312" w:cs="仿宋_GB2312"/>
          <w:sz w:val="30"/>
          <w:szCs w:val="30"/>
          <w:highlight w:val="none"/>
          <w:lang w:val="zh-CN" w:eastAsia="zh-CN"/>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三、支出</w:t>
      </w:r>
      <w:r>
        <w:rPr>
          <w:rFonts w:hint="eastAsia" w:ascii="Times New Roman" w:hAnsi="Times New Roman" w:eastAsia="黑体" w:cs="黑体"/>
          <w:b/>
          <w:bCs/>
          <w:kern w:val="0"/>
          <w:sz w:val="30"/>
          <w:szCs w:val="30"/>
          <w:highlight w:val="none"/>
        </w:rPr>
        <w:t>决算情况说明</w:t>
      </w:r>
    </w:p>
    <w:p>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天津市静海区市场监督管理局(本级)</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69,748,126.55</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2,949,086.35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lang w:eastAsia="zh-CN"/>
        </w:rPr>
        <w:t>财政拨款增加，偿还部分以前年度欠款</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65,287,905.74元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93.61</w:t>
      </w:r>
      <w:r>
        <w:rPr>
          <w:rFonts w:hint="eastAsia" w:ascii="Times New Roman" w:hAnsi="Times New Roman" w:eastAsia="仿宋_GB2312" w:cs="仿宋_GB2312"/>
          <w:sz w:val="30"/>
          <w:szCs w:val="30"/>
          <w:highlight w:val="none"/>
          <w:lang w:eastAsia="zh-CN"/>
        </w:rPr>
        <w:t>%；</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4,460,220.81元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占6.39%。</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四、财政拨款收支决算总体情况说明</w:t>
      </w:r>
    </w:p>
    <w:p>
      <w:pPr>
        <w:autoSpaceDE w:val="0"/>
        <w:autoSpaceDN w:val="0"/>
        <w:adjustRightInd w:val="0"/>
        <w:spacing w:line="58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lang w:eastAsia="zh-CN"/>
        </w:rPr>
        <w:t>天津市静海区市场监督管理局(本级)</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69,505,709.09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1,440,812.93</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2.12</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五、一般公共预算财政拨款支出决算情况说明</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天津市静海区市场监督管理局(本级)2023年度部门决算一般公共预算财政拨款支出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计67,998,309.53元，占本年支出合计的97.49%，与2022年度相比，一般公共预算财政拨款支出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1,271,239.56元，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1.91%，</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：财政拨款增加，偿还部分以前年度欠款</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67,998,309.53</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一般公共服务支出56540692.57元，占83.15%，社会保障和就业支出8060936.47元，占11.85%，卫生健康支出3396680.49元，占5%。</w:t>
      </w:r>
    </w:p>
    <w:p>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74,690,000.00</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67,998,309.53</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91.04%</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1.一般公共服务支出（类）市场监督管理事务（款）行政运行（项）年初预算为54503617.87元，支出决算为51039164.04元，完成年初预算的93.64%，决算数小于年初预算数的主要原因是落实过紧日子要求，控制开支。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2. 一般公共服务支出（类）市场监督管理事务（款）市场秩序执法（项）年初预算为650605.4元，支出决算为268021.02元，完成年初预算的41.2%，决算数小于年初预算数的主要原因落实过紧日子要求，控制开支。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3. 一般公共服务支出（类）市场监督管理事务（款）药品事务（项）年初预算为80000元，支出决算为80000元，完成年初预算的100%，决算数等于年初预算数的主要原因严格按照预算执行。</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4. 一般公共服务支出（类）市场监督管理事务（款）  医疗器械事务（项）年初预算为80000元，支出决算为80000元，完成年初预算的100%，决算数等于年初预算数的主要原因严格按照预算执行。</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5. 一般公共服务支出（类）市场监督管理事务（款）质量安全监管（项）年初预算为240000元，支出决算为254967.98元，完成年初预算的106.24%，决算数大于年初预算数的主要原因调整预算。</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6. 一般公共服务支出（类）市场监督管理事务（款）食品安全监管（项）年初预算为4460000元，支出决算为3067111元，完成年初预算的68.77%，决算数小于年初预算数的主要原因落实过紧日子要求，控制开支。</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7. 一般公共服务支出（类）市场监督管理事务（款）事业运行（项）年初预算为1967222.26元，支出决算为1751428.53元，完成年初预算的89.03%，决算数小于年初预算数的主要原因人员退休。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8. 社会保障和就业支出（类）行政事业单位养老支出（款） 行政单位离退休（项）年初预算为830508.72元，支出决算为1499192.2元，完成年初预算的180.51%，决算数大于年初预算数的主要原因退休人员增加，退休费增加；退休人员抚恤金未纳入年初预算。</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9. 社会保障和就业支出（类）行政事业单位养老支出（款）   事业单位离退休（项）年初预算为17844.96元，支出决算为24004.4元，完成年初预算的134.52%，决算数大于年初预算数的主要原因退休费增加。</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10. 社会保障和就业支出（类）行政事业单位养老支出（款）机关事业单位基本养老保险缴费支出（项）年初预算为4555728.38元，支出决算为4358513.07元，完成年初预算的95.67%，决算数小于年初预算数的主要原因人员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11. 社会保障和就业支出（类）行政事业单位养老支出（款）机关事业单位职业年金缴费支出（项）年初预算为2277864.2元，支出决算为2179226.8元，完成年初预算的95.67%，决算数小于年初预算数的主要原因人员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12. 卫生健康支出（类）行政事业单位医疗（款）行政单位医疗（项）年初预算为2863490.62元，支出决算为2740157.29元，完成年初预算的95.69%，决算数小于年初预算数的主要原因人员在职转退休。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13. 卫生健康支出（类）行政事业单位医疗（款）事业单位医疗（项）年初预算为139806.14元，支出决算为130494.26元，完成年初预算的93.34%，决算数小于年初预算数的主要原因人员在职转退休。</w:t>
      </w:r>
      <w:r>
        <w:rPr>
          <w:rFonts w:hint="eastAsia" w:ascii="Times New Roman" w:hAnsi="Times New Roman" w:eastAsia="仿宋_GB2312" w:cs="仿宋_GB2312"/>
          <w:sz w:val="30"/>
          <w:szCs w:val="30"/>
          <w:highlight w:val="none"/>
          <w:lang w:eastAsia="zh-CN"/>
        </w:rPr>
        <w:br/>
      </w:r>
      <w:r>
        <w:rPr>
          <w:rFonts w:hint="eastAsia" w:ascii="Times New Roman" w:hAnsi="Times New Roman" w:eastAsia="仿宋_GB2312" w:cs="仿宋_GB2312"/>
          <w:sz w:val="30"/>
          <w:szCs w:val="30"/>
          <w:highlight w:val="none"/>
          <w:lang w:eastAsia="zh-CN"/>
        </w:rPr>
        <w:t>14. 卫生健康支出（类）行政事业单位医疗（款）公务员医疗补助（项）年初预算为545426.78元，支出决算为526028.94元，完成年初预算的96.44%，决算数小于年初预算数的主要原因人员在职转退休。</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六、一般公共预算财政拨款基本支出决算情况说明</w:t>
      </w:r>
    </w:p>
    <w:p>
      <w:pPr>
        <w:autoSpaceDE w:val="0"/>
        <w:autoSpaceDN w:val="0"/>
        <w:adjustRightInd w:val="0"/>
        <w:spacing w:line="600" w:lineRule="exact"/>
        <w:ind w:firstLine="72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天津市静海区市场监督管理局(本级)</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63,590,299.13</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1,801,428.28</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落实过紧日子要求，控制开支。</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56,494,431.20</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基本工资、津贴补贴、奖金、绩效工资、机关事业单位基本养老保险缴费、职业年金缴费、职工基本医疗保险缴费、公务员医疗补助缴费、其他社会保障缴费、住房公积金、其他工资福利支出、离休费、退休费、抚恤金、生活补助、医疗费补助、奖励金，</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7,095,867.93</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办公费、手续费、水费、电费、邮电费、取暖费、差旅费、维修(护)费、培训费、劳务费、工会经费、福利费、公务用车运行维护费、其他交通费用、税金及附加费用、其他商品和服务支出、办公设备购置。</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七、政府性基金预算财政拨款收支决算情况</w:t>
      </w:r>
    </w:p>
    <w:p>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天津市静海区市场监督管理局(本级)</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pPr>
        <w:autoSpaceDE w:val="0"/>
        <w:autoSpaceDN w:val="0"/>
        <w:adjustRightInd w:val="0"/>
        <w:spacing w:line="600" w:lineRule="exact"/>
        <w:ind w:firstLine="600"/>
        <w:jc w:val="left"/>
        <w:rPr>
          <w:rFonts w:hint="default" w:ascii="Times New Roman" w:hAnsi="Times New Roman" w:eastAsia="楷体" w:cs="楷体"/>
          <w:kern w:val="0"/>
          <w:sz w:val="30"/>
          <w:szCs w:val="30"/>
          <w:highlight w:val="none"/>
          <w:lang w:val="en-US"/>
        </w:rPr>
      </w:pPr>
      <w:r>
        <w:rPr>
          <w:rFonts w:hint="eastAsia" w:ascii="Times New Roman" w:hAnsi="Times New Roman" w:eastAsia="仿宋_GB2312" w:cs="仿宋_GB2312"/>
          <w:sz w:val="30"/>
          <w:szCs w:val="30"/>
          <w:highlight w:val="none"/>
          <w:lang w:eastAsia="zh-CN"/>
        </w:rPr>
        <w:t>天津市静海区市场监督管理局（本级）2023年度无政府性基金预算财政拨款收入、支出和结转结余。</w:t>
      </w:r>
      <w:r>
        <w:rPr>
          <w:rFonts w:hint="eastAsia" w:ascii="Times New Roman" w:hAnsi="Times New Roman" w:eastAsia="仿宋_GB2312" w:cs="仿宋_GB2312"/>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八、国有资本经营预算财政拨款收支决算情况说明</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天津市静海区市场监督管理局(本级)</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元。主要原因是</w:t>
      </w:r>
      <w:r>
        <w:rPr>
          <w:rFonts w:hint="eastAsia" w:ascii="Times New Roman" w:hAnsi="Times New Roman" w:eastAsia="楷体_GB2312" w:cs="楷体_GB2312"/>
          <w:sz w:val="30"/>
          <w:szCs w:val="30"/>
          <w:highlight w:val="none"/>
          <w:lang w:val="zh-CN"/>
        </w:rPr>
        <w:t>：</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天津市静海区市场监督管理局（本级）2023年度无国有资本经营预算财政拨款收入、支出和结转结余。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九、财政拨款</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三公</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经费</w:t>
      </w:r>
      <w:r>
        <w:rPr>
          <w:rFonts w:hint="eastAsia" w:ascii="Times New Roman" w:hAnsi="Times New Roman" w:eastAsia="黑体" w:cs="黑体"/>
          <w:b/>
          <w:bCs/>
          <w:kern w:val="0"/>
          <w:sz w:val="30"/>
          <w:szCs w:val="30"/>
          <w:highlight w:val="none"/>
          <w:lang w:val="zh-CN"/>
        </w:rPr>
        <w:t>支出决算</w:t>
      </w:r>
      <w:r>
        <w:rPr>
          <w:rFonts w:hint="eastAsia" w:ascii="Times New Roman" w:hAnsi="Times New Roman" w:eastAsia="黑体" w:cs="黑体"/>
          <w:b/>
          <w:bCs/>
          <w:kern w:val="0"/>
          <w:sz w:val="30"/>
          <w:szCs w:val="30"/>
          <w:highlight w:val="none"/>
        </w:rPr>
        <w:t>情况</w:t>
      </w:r>
    </w:p>
    <w:p>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527,300.00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360,447.45</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166,852.55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68.36</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70,024.43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16.27</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p>
    <w:p>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本年度未用一般公共预算列支因公出国（境）费。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本年度未用一般公共预算列支因公出国（境）费。</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525,000.00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360,447.45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164,552.55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68.66</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70,024.43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16.27</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公务用车运行维护费预算</w:t>
      </w:r>
      <w:r>
        <w:rPr>
          <w:rFonts w:hint="eastAsia" w:ascii="Times New Roman" w:hAnsi="Times New Roman" w:eastAsia="仿宋_GB2312" w:cs="Times New Roman"/>
          <w:kern w:val="0"/>
          <w:sz w:val="30"/>
          <w:szCs w:val="30"/>
          <w:highlight w:val="none"/>
          <w:lang w:eastAsia="zh-CN"/>
        </w:rPr>
        <w:t>525,000.00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360,447.45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164,552.55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68.66</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70,024.43</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kern w:val="0"/>
          <w:sz w:val="30"/>
          <w:szCs w:val="30"/>
          <w:highlight w:val="none"/>
          <w:lang w:eastAsia="zh-CN"/>
        </w:rPr>
        <w:t>16.27</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减少用车次数，“三公”经费支出减少。</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减少</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减少用车次数，“三公”经费支出减少。</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35</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本年度未用一般公共预算列支公务用车购置费 。</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本年度未用一般公共预算列支公务用车购置费 。</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2,300.00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2,300.00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本年度未用一般公共预算列支公务接待费。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本年度未用一般公共预算列支公务接待费。</w:t>
      </w:r>
    </w:p>
    <w:p>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十、机关运行经费支出情况说明</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天津市静海区市场监督管理局(本级)</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7,095,867.93</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1,028,672.51</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16.95</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仿宋_GB2312" w:cs="仿宋_GB2312"/>
          <w:sz w:val="30"/>
          <w:szCs w:val="30"/>
          <w:highlight w:val="none"/>
          <w:lang w:eastAsia="zh-CN"/>
        </w:rPr>
        <w:t>财政拨款增加，偿还部分以前年度欠款。</w:t>
      </w:r>
      <w:bookmarkStart w:id="0" w:name="_GoBack"/>
      <w:bookmarkEnd w:id="0"/>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十一、政府采购支出情况说明</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天津市静海区市场监督管理局(本级)</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3,492,285.00</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176,293.00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3,315,992.00</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2,431,685.00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69.63%</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1,745,905.00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49.99%</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sz w:val="30"/>
          <w:szCs w:val="30"/>
          <w:highlight w:val="none"/>
          <w:lang w:eastAsia="zh-CN"/>
        </w:rPr>
        <w:t>100.0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68.02</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十二、</w:t>
      </w:r>
      <w:r>
        <w:rPr>
          <w:rFonts w:hint="eastAsia" w:ascii="Times New Roman" w:hAnsi="Times New Roman" w:eastAsia="黑体" w:cs="黑体"/>
          <w:b/>
          <w:bCs/>
          <w:kern w:val="0"/>
          <w:sz w:val="30"/>
          <w:szCs w:val="30"/>
          <w:highlight w:val="none"/>
        </w:rPr>
        <w:t>国有资产占有使用情况说明</w:t>
      </w:r>
    </w:p>
    <w:p>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highlight w:val="none"/>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天津市静海区市场监督管理局(本级)</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35</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27</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2</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6</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sz w:val="30"/>
          <w:szCs w:val="30"/>
          <w:highlight w:val="none"/>
          <w:lang w:eastAsia="zh-CN"/>
        </w:rPr>
        <w:t>食品检测车</w:t>
      </w:r>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台（套）。</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十三、</w:t>
      </w:r>
      <w:r>
        <w:rPr>
          <w:rFonts w:hint="eastAsia" w:ascii="Times New Roman" w:hAnsi="Times New Roman" w:eastAsia="黑体" w:cs="黑体"/>
          <w:b/>
          <w:bCs/>
          <w:kern w:val="0"/>
          <w:sz w:val="30"/>
          <w:szCs w:val="30"/>
          <w:highlight w:val="none"/>
        </w:rPr>
        <w:t>预算绩效情况说明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根据预算绩效管理要求，天津市静海区市场监督管理局(本级）2023年度已对20个区级项目开展绩效自评，涉及金额4408010.4元，自评结果已随部门决算一并公开。本部门2023年度未自行组织开展绩效评价。</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十四、</w:t>
      </w:r>
      <w:r>
        <w:rPr>
          <w:rFonts w:hint="eastAsia" w:ascii="Times New Roman" w:hAnsi="Times New Roman" w:eastAsia="黑体" w:cs="黑体"/>
          <w:b/>
          <w:bCs/>
          <w:kern w:val="0"/>
          <w:sz w:val="30"/>
          <w:szCs w:val="30"/>
          <w:highlight w:val="none"/>
        </w:rPr>
        <w:t>教育、医疗卫生、社会保障和就业、住房保障、涉农补贴等民生支出情况说明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天津市静海区市场监督管理局（本级）2023年度无教育、医疗卫生、社会保障和就业、住房保障、涉农补贴等民生支出情况。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第四部分名词解释</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A867FD"/>
    <w:rsid w:val="0AF018E5"/>
    <w:rsid w:val="0B1428B6"/>
    <w:rsid w:val="0B2716A6"/>
    <w:rsid w:val="0B2E72C7"/>
    <w:rsid w:val="0C411F0C"/>
    <w:rsid w:val="0CDD71F7"/>
    <w:rsid w:val="0D664210"/>
    <w:rsid w:val="0DA7267B"/>
    <w:rsid w:val="0DFB4FC0"/>
    <w:rsid w:val="0E267459"/>
    <w:rsid w:val="0EBB5316"/>
    <w:rsid w:val="0FC42B69"/>
    <w:rsid w:val="0FF22FB9"/>
    <w:rsid w:val="118916FB"/>
    <w:rsid w:val="1221675E"/>
    <w:rsid w:val="12C34799"/>
    <w:rsid w:val="12D93FBD"/>
    <w:rsid w:val="13463246"/>
    <w:rsid w:val="142D4C1F"/>
    <w:rsid w:val="15F1161D"/>
    <w:rsid w:val="16036893"/>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8B87C5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7">
    <w:name w:val="Default Paragraph Font"/>
    <w:unhideWhenUsed/>
    <w:qFormat/>
    <w:uiPriority w:val="1"/>
  </w:style>
  <w:style w:type="table" w:default="1" w:styleId="8">
    <w:name w:val="Normal Table"/>
    <w:unhideWhenUsed/>
    <w:qFormat/>
    <w:uiPriority w:val="99"/>
    <w:tblPr>
      <w:tblStyle w:val="8"/>
      <w:tblLayout w:type="fixed"/>
      <w:tblCellMar>
        <w:top w:w="0" w:type="dxa"/>
        <w:left w:w="108" w:type="dxa"/>
        <w:bottom w:w="0" w:type="dxa"/>
        <w:right w:w="108" w:type="dxa"/>
      </w:tblCellMar>
    </w:tblPr>
    <w:tcPr>
      <w:textDirection w:val="lrTb"/>
    </w:tcPr>
  </w:style>
  <w:style w:type="paragraph" w:styleId="4">
    <w:name w:val="annotation text"/>
    <w:basedOn w:val="1"/>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7"/>
    <w:link w:val="2"/>
    <w:qFormat/>
    <w:uiPriority w:val="99"/>
    <w:rPr>
      <w:rFonts w:ascii="方正小标宋简体" w:eastAsia="方正小标宋简体"/>
      <w:kern w:val="0"/>
      <w:sz w:val="24"/>
      <w:szCs w:val="24"/>
    </w:rPr>
  </w:style>
  <w:style w:type="character" w:customStyle="1" w:styleId="10">
    <w:name w:val="标题 2 字符"/>
    <w:basedOn w:val="7"/>
    <w:link w:val="3"/>
    <w:qFormat/>
    <w:uiPriority w:val="99"/>
    <w:rPr>
      <w:rFonts w:ascii="方正小标宋简体" w:eastAsia="方正小标宋简体"/>
      <w:kern w:val="0"/>
      <w:sz w:val="24"/>
      <w:szCs w:val="24"/>
    </w:rPr>
  </w:style>
  <w:style w:type="character" w:customStyle="1" w:styleId="11">
    <w:name w:val="页眉 字符"/>
    <w:basedOn w:val="7"/>
    <w:link w:val="6"/>
    <w:qFormat/>
    <w:uiPriority w:val="99"/>
    <w:rPr>
      <w:sz w:val="18"/>
      <w:szCs w:val="18"/>
    </w:rPr>
  </w:style>
  <w:style w:type="character" w:customStyle="1" w:styleId="12">
    <w:name w:val="页脚 字符"/>
    <w:basedOn w:val="7"/>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3220</Words>
  <Characters>5638</Characters>
  <Lines>82</Lines>
  <Paragraphs>23</Paragraphs>
  <ScaleCrop>false</ScaleCrop>
  <LinksUpToDate>false</LinksUpToDate>
  <CharactersWithSpaces>0</CharactersWithSpaces>
  <Application>WPS Office_9.1.0.5218_F1E327BC-269C-435d-A152-05C5408002CA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2023-08-11T08:11:00Z</dcterms:created>
  <dc:creator>office</dc:creator>
  <cp:lastModifiedBy>Administrator</cp:lastModifiedBy>
  <dcterms:modified xsi:type="dcterms:W3CDTF">2024-08-01T07:19:24Z</dcterms:modified>
  <dc:title>天津市静海区市场监督管理局(本级)2023年度部门决算</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y fmtid="{D5CDD505-2E9C-101B-9397-08002B2CF9AE}" pid="3" name="ICV">
    <vt:lpwstr>A44E0A178634409BBBA50D5636087390_13</vt:lpwstr>
  </property>
</Properties>
</file>