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r>
        <w:rPr>
          <w:rFonts w:hint="eastAsia" w:ascii="Times New Roman" w:hAnsi="Times New Roman" w:eastAsia="方正小标宋简体" w:cs="方正小标宋简体"/>
          <w:kern w:val="0"/>
          <w:sz w:val="48"/>
          <w:szCs w:val="48"/>
          <w:lang w:val="zh-CN"/>
        </w:rPr>
        <w:t>天津市北辰区市场监督管理局2023年度部门决算</w:t>
      </w: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600" w:lineRule="exact"/>
        <w:jc w:val="center"/>
        <w:rPr>
          <w:rFonts w:ascii="Times New Roman" w:hAnsi="Times New Roman" w:eastAsia="黑体" w:cs="黑体"/>
          <w:kern w:val="0"/>
          <w:sz w:val="44"/>
          <w:szCs w:val="44"/>
        </w:rPr>
      </w:pPr>
      <w:r>
        <w:rPr>
          <w:rFonts w:ascii="Times New Roman" w:hAnsi="Times New Roman" w:eastAsia="黑体" w:cs="黑体"/>
          <w:sz w:val="30"/>
          <w:szCs w:val="30"/>
        </w:rPr>
        <w:br w:type="page"/>
      </w:r>
    </w:p>
    <w:p>
      <w:pPr>
        <w:autoSpaceDE w:val="0"/>
        <w:autoSpaceDN w:val="0"/>
        <w:adjustRightInd w:val="0"/>
        <w:spacing w:line="600" w:lineRule="exact"/>
        <w:jc w:val="center"/>
        <w:rPr>
          <w:rFonts w:ascii="Times New Roman" w:hAnsi="Times New Roman" w:eastAsia="黑体" w:cs="黑体"/>
          <w:kern w:val="0"/>
          <w:sz w:val="44"/>
          <w:szCs w:val="44"/>
        </w:rPr>
      </w:pPr>
      <w:r>
        <w:rPr>
          <w:rFonts w:hint="eastAsia" w:ascii="Times New Roman" w:hAnsi="Times New Roman" w:eastAsia="黑体" w:cs="黑体"/>
          <w:kern w:val="0"/>
          <w:sz w:val="44"/>
          <w:szCs w:val="44"/>
        </w:rPr>
        <w:t>目   录</w:t>
      </w:r>
    </w:p>
    <w:p>
      <w:pPr>
        <w:autoSpaceDE w:val="0"/>
        <w:autoSpaceDN w:val="0"/>
        <w:adjustRightInd w:val="0"/>
        <w:spacing w:line="600" w:lineRule="exact"/>
        <w:jc w:val="left"/>
        <w:rPr>
          <w:rFonts w:ascii="Times New Roman" w:hAnsi="Times New Roman" w:eastAsia="黑体" w:cs="黑体"/>
          <w:kern w:val="0"/>
          <w:sz w:val="30"/>
          <w:szCs w:val="30"/>
        </w:rPr>
      </w:pP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第一部分  概 况</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一、主要职责</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二、机构设置</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第二部分  2023年度部门决算表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二、收入决算表（按功能分类列示）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三、收入决算表（按单位列示）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五、财政拨款收入支出决算总表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七、一般公共预算财政拨款基本支出决算表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八、政府性基金预算财政拨款收入支出决算表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九、国有资本经营预算财政拨款收入支出决算表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十一、项目支出决算表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十二、关于空表的说明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第三部分  2023年度部门决算情况说明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四、财政拨款收支决算总体情况说明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五、一般公共预算财政拨款支出决算情况说明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六、一般公共预算财政拨款基本支出决算情况说明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七、政府性基金预算财政拨款收支决算情况说明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八、国有资本经营预算财政拨款收支决算情况说明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十、机关运行经费支出情况说明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十一、政府采购支出情况说明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十二、国有资产占有使用情况说明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十三、预算绩效情况说明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lang w:val="en"/>
        </w:rPr>
      </w:pPr>
      <w:r>
        <w:rPr>
          <w:rFonts w:hint="eastAsia" w:ascii="Times New Roman" w:hAnsi="Times New Roman" w:eastAsia="仿宋_GB2312" w:cs="仿宋_GB2312"/>
          <w:kern w:val="0"/>
          <w:sz w:val="30"/>
          <w:szCs w:val="30"/>
        </w:rPr>
        <w:t>十四、教育、医疗卫生、社会保障和就业、住房保障、涉农补贴等民生支出情况说明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lang w:val="en"/>
        </w:rPr>
      </w:pPr>
      <w:r>
        <w:rPr>
          <w:rFonts w:hint="eastAsia" w:ascii="Times New Roman" w:hAnsi="Times New Roman" w:eastAsia="方正小标宋简体" w:cs="方正小标宋简体"/>
          <w:kern w:val="0"/>
          <w:sz w:val="30"/>
          <w:szCs w:val="30"/>
          <w:lang w:val="en"/>
        </w:rPr>
        <w:t>第四部分</w:t>
      </w:r>
      <w:r>
        <w:rPr>
          <w:rFonts w:hint="eastAsia" w:ascii="Times New Roman" w:hAnsi="Times New Roman" w:eastAsia="方正小标宋简体" w:cs="方正小标宋简体"/>
          <w:kern w:val="0"/>
          <w:sz w:val="30"/>
          <w:szCs w:val="30"/>
        </w:rPr>
        <w:t xml:space="preserve">  </w:t>
      </w:r>
      <w:r>
        <w:rPr>
          <w:rFonts w:hint="eastAsia" w:ascii="Times New Roman" w:hAnsi="Times New Roman" w:eastAsia="方正小标宋简体" w:cs="方正小标宋简体"/>
          <w:kern w:val="0"/>
          <w:sz w:val="30"/>
          <w:szCs w:val="30"/>
          <w:lang w:val="en"/>
        </w:rPr>
        <w:t>名词解释</w:t>
      </w:r>
    </w:p>
    <w:p>
      <w:pPr>
        <w:autoSpaceDE w:val="0"/>
        <w:autoSpaceDN w:val="0"/>
        <w:adjustRightInd w:val="0"/>
        <w:spacing w:line="700" w:lineRule="exact"/>
        <w:jc w:val="left"/>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第一部分  概 况</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一、主要职责</w:t>
      </w:r>
    </w:p>
    <w:p>
      <w:pPr>
        <w:autoSpaceDE w:val="0"/>
        <w:autoSpaceDN w:val="0"/>
        <w:adjustRightInd w:val="0"/>
        <w:spacing w:line="60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一）负责市场综合监督管理。贯彻执行市场监督管理、药品、医疗器械和化妆品监管和知识产权方面法律、法规、规章和政策、标准，组织实施质量强国战略、国家知识产权战略、质量立市战略和食品安全战略、标准化战略，拟订并组织实施有关市场监管、药品零售和使用环节、医疗器械经营和使用环节及化妆品经营环节监管和知识产权规划、计划，规范和维护市场秩序，营造诚实守信、公平竞争的市场环境。</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负责本区各类企业、农民专业合作社和从事经营活动的单位、个体工商户，以及外国（地区）企业常驻代表机构等市场主体的登记注册和监督管理工作。负责核发加载法人和其他组织统一社会信用代码的营业执照。指导本区内企业、个体工商户、商品交易市场的信用分类管理，收集、整理和报送监管职责范围内的市场主体登记注册基础信息等，落实企业信用信息公示制度。</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（三）负责组织实施本区市场监管综合执法工作。规范市场监管行政执法行为。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四）依法规范和维护本区各类市场的经营秩序，监督管理市场交易、网络商品交易及有关服务的行为。依法查处价格收费违法违规、不正当竞争、违法直销、传销、侵犯商标专利知识产权和商业贿赂等经济违法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五）组织开展本区内商品和相关服务领域消费维权工作，负责查处侵害消费者权益、制售假冒伪劣产品等违法行为，依法处置产品质量投诉举报，承担消费者咨询、投诉、举报的受理处理和网络体系建设等工作。承担消费教育引导，推动经营者自律。</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（六）依法实施本区内合同的行政监督管理，负责管理动产抵押物登记，监督管理拍卖行为，依法查处合同欺诈、不公平格式条款等违法行为。指导广告业发展，负责广告活动的监督管理工作。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（七）负责依法对价格活动进行监督检查，规范市场价格秩序。对违反价格管理的违法违规行为进行处罚。处理价格举报、投诉。贯彻落实公平竞争审查制度。</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八）负责本区质量管理工作。负责组织实施质量发展政策规定和质量考核奖励工作。负责编制宏观质量状况分析报告。会同有关部门组织实施重大工程设备质量监理工作，组织重大质量事故调查，组织实施缺陷产品召回工作，监督管理产品防伪工作。承担产品质量诚信制度建设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九）负责本区产品质量安全监督工作。负责产品、商品质量监督抽查和产品、商品风险排查、监控及警示工作，依法查处产品、商品质量违法行为。负责工业产品生产许可监督管理工作。负责产品质量事故的调查，监督缺陷和问题产品的召回。</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负责管理本区特种设备的安全监督工作。组织实施对特种设备生产、经营、使用、检验、检测和特种设备安全的监督管理。督促特种设备使用单位健全和完善安全和节能责任制度，依法查处违法违规行为。参与对特种设备一般安全事故的调查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一）负责本区食品监督管理工作。贯彻执行本市食品安全重大政策。负责食品安全应急体系建设，组织实施重大食品安全事件应急处置和调查处理工作。推动落实食品安全重要信息直报制度。组织实施本区食品生产、流通、消费全过程的监督检查和隐患排查治理，防范区域性、系统性食品安全风险。推动食品生产经营者落实主体责任，健全食品安全追溯体系。组织开展食品安全监督抽检、风险监测、检查处置和风险预警、风险交流工作，定期公布相关信息。组织实施不合格食品核查、处置、召回。负责特殊食品的监督管理。组织开展食品专项整治，依法查处相关违法违规行为。承担区食品安全委员会具体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二）负责药品零售、医疗器械经营环节的许可和监督管理，以及化妆品经营和药品、医疗器械使用环节质量的监督管理。依法查处相关违法违规行为。依职责组织实施本区药品、医疗器械、化妆品评价性和监督性抽样检验。组织开展本区药品、化妆品不良反应和医疗器械不良事件的监测和处置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（十三）负责本区计量监督管理工作。推行法定计量单位和国家计量制度。建立和管理社会公用计量标准, 监督管理法定计量检定机构和社会公正计量机构，组织量值传递和溯源。依法负责计量器具和商品量的监督管理，组织计量仲裁检定、调解计量纠纷。依法负责查处计量违法行为。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（十四）负责本区标准化管理工作。组织国家标准、行业标准和地方标准的贯彻实施。组织开展标准示范试点工作。负责商品条码管理工作。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五）负责本区认证认可监督管理工作。依法对各类认证活动进行监督管理，查处违法行为。负责组织实施认证认可风险分析与预警工作。负责本区检验检测机构监督管理工作，规范本区检验检测市场，完善检验检测体系。</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（十六）负责本区食用农产品、粮食（含食用油）进入批发、零售市场或生产加工企业后的质量安全监督管理工作。负责食盐生产及经营的质量安全监督管理工作。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七）组织协调保护知识产权工作，推动知识产权保护体系建设。负责本区知识产权争议处理、维权援助和纠纷调处工作。组织落实知识产权运用和规范交易政策，促进知识产权转移转化。负责知识产权统计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（十八）负责专利管理工作。推动专利创造、运用、管理和保护工作。负责专利行政执法，依法处理、调解侵犯专利的纠纷案件以及查处假冒他人专利行为和冒充专利行为。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（十九）组织推动商标工作。负责商标行政执法工作，依法保护商标专用权和查处商标侵权行为，监督管理商标的印制和使用。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（二十）负责本领域安全生产监督管理工作。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（二十一）配合有关部门推动招商引资工作。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（二十二）负责本区市场监管人才队伍建设工作。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（二十三）承办区委、区政府交办的其他事项。</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（二十四）职能转变。</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1.大力推进质量提升。加强全面质量管理和本市质量基础设施体系建设，完善质量激励制度，推进品牌建设。加快建立企业产品质量安全事故强制报告制度及经营者首问和赔偿先付制度，创新第三方质量评价，强化生产经营者主体责任，推广先进的质量管理方法。全面实施企业产品与服务标准自我声明公开和监督制度，培育发展技术先进的团体标准，对标国际提高本市标准整体水平，以标准化促进质量强市建设。</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深入推进简政放权。深化商事制度改革，推进企业名称核准、市场主体退出等改革，推进“证照分离”改革，压缩企业开办时间。加快检验监测机构市场化社会化改革。进一步减少评比达标、认定奖励、示范创建等活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3.严守安全底线。遵循“最严谨的标准、最严格的监管、最严厉的处罚、最严肃的问责”要求，依法加强食品药品安全、工业产品质量安全、特种设备安全监管，强化现场检查，严惩违法违规行为，有效防范系统性风险，让人民群众买得放心、用得放心、吃得放心。</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4.加强事中事后监管。加快清理废除妨碍统一市场和公平竞争的各种规定和做法，加强反垄断、反不正当竞争统一执法。强化依据标准监管，强化风险管理，全面推行“双随机、一公开”和“互联网+监管”，加快推进监管信息共享，构建以信息公示为手段、以信用监管为核心的新型市场监管体系。</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5.提高服务水平。推进市场主体准入到退出全过程便利化，主动服务新技术新产业新业态新模式发展，运用大数据加强对市场主体服务，积极服务个体工商户、私营企业和办事群众，促进大众创业、万众创新。</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（二十五）有关职责分工。</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1.与公安北辰分局的有关职责分工。区市场监督管理局与公安北辰分局建立行政执法和刑事司法工作衔接机制。区市场监督管理局发现违法行为涉嫌犯罪的，应当按照有关规定及时移送公安机关，公安机关应当迅速进行审查，并依法作出立案或者不予立案的决定。公安机关依法提请市场监督管理局作出检验、鉴定、认定等协助的，区市场监督管理局应当予以协助。</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与区农业农村委员会的有关职责分工。（1）区农业农村委员会负责食用农产品从种植养殖环节到进入批发、零售市场或者生产加工企业前的质量安全监督管理。食用农产品进入批发、零售市场或者生产加工企业后，由区市场监督管理局监督管理。（2）区农业农村委员会负责动植物疫病防控、畜禽屠宰环节、生鲜乳收购环节质量安全的监督管理。（3）两部门要建立食品安全产地准出、市场准入和追溯机制，加强协调配合和工作衔接，形成监管合力。</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3.与区卫生健康委员会的有关职责分工。（1）区卫生健康委员会负责食品安全风险监测工作，会同区市场监督管理局等部门制定、实施本区食品安全风险监测方案。区卫生健康委员会对通过食品安全风险监测发现可能存在食品安全隐患的，应当及时将相关信息通报区市场监督管理局，并报告区政府和市卫生健康委员会，区市场监督管理局应当组织开展进一步调查。（2）区卫生健康委员会会同区市场监督管理局等部门对食品安全国家标准和地方标准的执行情况进行跟踪评价。（3）区市场监督管理局会同区卫生健康委员会建立重大药品不良反应、医疗器械不良事件相互通报机制和联合处置机制。</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4.与区农业农村委员会、区发展和改革委员会的有关职责分工。区农业农村委员会负责粮食生产环节的质量安全监管。区发展和改革委员会负责粮食（含食用油）收购、储存、运输环节和政策性用粮购销活动中的粮食质量安全和原粮卫生的监督管理。区市场监督管理局负责粮食（含食用油）进入批发、零售市场或生产加工企业后的质量安全监督管理。</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二、机构设置</w:t>
      </w:r>
    </w:p>
    <w:p>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天津市北辰区市场监督管理局内设20个职能科室；下辖</w:t>
      </w:r>
      <w:r>
        <w:rPr>
          <w:rFonts w:hint="eastAsia" w:ascii="Times New Roman" w:hAnsi="Times New Roman" w:eastAsia="仿宋_GB2312" w:cs="仿宋_GB2312"/>
          <w:sz w:val="30"/>
          <w:szCs w:val="30"/>
          <w:highlight w:val="none"/>
        </w:rPr>
        <w:t>3</w:t>
      </w:r>
      <w:r>
        <w:rPr>
          <w:rFonts w:hint="eastAsia" w:ascii="Times New Roman" w:hAnsi="Times New Roman" w:eastAsia="仿宋_GB2312" w:cs="仿宋_GB2312"/>
          <w:sz w:val="30"/>
          <w:szCs w:val="30"/>
        </w:rPr>
        <w:t>个预算单位。纳入天津市北辰区市场监督管理局2023年度部门决算编制范围的单位包括：</w:t>
      </w:r>
    </w:p>
    <w:p>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1.天津市北辰区市场监督管理局（本级）</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2.天津市北辰区计量检定所</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3.天津市北辰区产品质量监督检验所</w:t>
      </w:r>
    </w:p>
    <w:p>
      <w:pPr>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第二部分  2023年度部门决算表</w:t>
      </w:r>
    </w:p>
    <w:p>
      <w:pPr>
        <w:autoSpaceDE w:val="0"/>
        <w:autoSpaceDN w:val="0"/>
        <w:adjustRightInd w:val="0"/>
        <w:spacing w:line="600" w:lineRule="exact"/>
        <w:jc w:val="left"/>
        <w:rPr>
          <w:rFonts w:ascii="Times New Roman" w:hAnsi="Times New Roman" w:eastAsia="方正小标宋简体" w:cs="Times New Roman"/>
          <w:kern w:val="0"/>
          <w:sz w:val="24"/>
          <w:szCs w:val="24"/>
        </w:rPr>
      </w:pP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二、《收入决算表（按功能分类列示）》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三、《收入决算表（按单位列示）》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四、《支出决算表》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五、《财政拨款收入支出决算总表》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六、《一般公共预算财政拨款支出决算表》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七、《一般公共预算财政拨款基本支出决算表》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八、《政府性基金预算财政拨款收入支出决算表》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九、《国有资本经营预算财政拨款收入支出决算表》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十、《财政拨款</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三公</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经费支出决算表》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十一、《项目支出决算表》</w:t>
      </w:r>
    </w:p>
    <w:p>
      <w:pPr>
        <w:autoSpaceDE w:val="0"/>
        <w:autoSpaceDN w:val="0"/>
        <w:adjustRightInd w:val="0"/>
        <w:spacing w:line="800" w:lineRule="exact"/>
        <w:jc w:val="left"/>
        <w:rPr>
          <w:rFonts w:ascii="Times New Roman" w:hAnsi="Times New Roman" w:eastAsia="楷体" w:cs="楷体"/>
          <w:kern w:val="0"/>
          <w:sz w:val="30"/>
          <w:szCs w:val="30"/>
        </w:rPr>
      </w:pPr>
      <w:r>
        <w:rPr>
          <w:rFonts w:hint="eastAsia" w:ascii="Times New Roman" w:hAnsi="Times New Roman" w:eastAsia="楷体" w:cs="楷体"/>
          <w:kern w:val="0"/>
          <w:sz w:val="30"/>
          <w:szCs w:val="30"/>
        </w:rPr>
        <w:t>注：以上决算公开表均作为附表，附于决算公开说明文档后。</w:t>
      </w:r>
    </w:p>
    <w:p>
      <w:pPr>
        <w:autoSpaceDE w:val="0"/>
        <w:autoSpaceDN w:val="0"/>
        <w:adjustRightInd w:val="0"/>
        <w:spacing w:line="600" w:lineRule="exact"/>
        <w:jc w:val="left"/>
        <w:rPr>
          <w:rFonts w:ascii="Times New Roman" w:hAnsi="Times New Roman" w:eastAsia="黑体" w:cs="黑体"/>
          <w:b w:val="0"/>
          <w:bCs w:val="0"/>
          <w:kern w:val="0"/>
          <w:sz w:val="30"/>
          <w:szCs w:val="30"/>
        </w:rPr>
      </w:pPr>
      <w:r>
        <w:rPr>
          <w:rFonts w:ascii="Times New Roman" w:hAnsi="Times New Roman" w:eastAsia="楷体" w:cs="Times New Roman"/>
          <w:kern w:val="0"/>
          <w:sz w:val="24"/>
          <w:szCs w:val="24"/>
        </w:rPr>
        <w:br w:type="page"/>
      </w:r>
      <w:r>
        <w:rPr>
          <w:rFonts w:hint="eastAsia" w:ascii="Times New Roman" w:hAnsi="Times New Roman" w:eastAsia="楷体" w:cs="Times New Roman"/>
          <w:kern w:val="0"/>
          <w:sz w:val="24"/>
          <w:szCs w:val="24"/>
          <w:lang w:val="en-US" w:eastAsia="zh-CN"/>
        </w:rPr>
        <w:t xml:space="preserve">    </w:t>
      </w:r>
      <w:r>
        <w:rPr>
          <w:rFonts w:hint="eastAsia" w:ascii="Times New Roman" w:hAnsi="Times New Roman" w:eastAsia="黑体" w:cs="黑体"/>
          <w:b w:val="0"/>
          <w:bCs w:val="0"/>
          <w:kern w:val="0"/>
          <w:sz w:val="30"/>
          <w:szCs w:val="30"/>
        </w:rPr>
        <w:t>十二、关于空表的说明</w:t>
      </w:r>
    </w:p>
    <w:p>
      <w:pPr>
        <w:autoSpaceDE w:val="0"/>
        <w:autoSpaceDN w:val="0"/>
        <w:adjustRightInd w:val="0"/>
        <w:spacing w:line="600" w:lineRule="exact"/>
        <w:ind w:firstLine="601"/>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1.天津市北辰区市场监督管理局2023年度政府性基金预算财政拨款收入支出决算表为空表。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2.天津市北辰区市场监督管理局2023年度国有资本经营预算财政拨款收入支出决算表为空表。</w:t>
      </w:r>
    </w:p>
    <w:p>
      <w:pPr>
        <w:autoSpaceDE w:val="0"/>
        <w:autoSpaceDN w:val="0"/>
        <w:adjustRightInd w:val="0"/>
        <w:spacing w:line="600" w:lineRule="exact"/>
        <w:ind w:firstLine="601"/>
        <w:jc w:val="left"/>
        <w:rPr>
          <w:rFonts w:ascii="Times New Roman" w:hAnsi="Times New Roman" w:eastAsia="仿宋_GB2312" w:cs="仿宋_GB2312"/>
          <w:sz w:val="30"/>
          <w:szCs w:val="30"/>
        </w:rPr>
      </w:pPr>
    </w:p>
    <w:p>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第三部分  2023年度部门决算情况说明</w:t>
      </w:r>
    </w:p>
    <w:p>
      <w:pPr>
        <w:autoSpaceDE w:val="0"/>
        <w:autoSpaceDN w:val="0"/>
        <w:adjustRightInd w:val="0"/>
        <w:spacing w:line="580" w:lineRule="exact"/>
        <w:ind w:firstLine="600"/>
        <w:jc w:val="left"/>
        <w:rPr>
          <w:rFonts w:ascii="Times New Roman" w:hAnsi="Times New Roman" w:eastAsia="黑体" w:cs="黑体"/>
          <w:sz w:val="30"/>
          <w:szCs w:val="30"/>
          <w:lang w:val="zh-CN"/>
        </w:rPr>
      </w:pP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一、收入支出决算总体情况说明</w:t>
      </w:r>
    </w:p>
    <w:p>
      <w:pPr>
        <w:autoSpaceDE w:val="0"/>
        <w:autoSpaceDN w:val="0"/>
        <w:adjustRightInd w:val="0"/>
        <w:spacing w:line="60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lang w:val="zh-CN"/>
        </w:rPr>
        <w:t>天津市北辰区市场监督管理局2023年度收入、支出决算总计</w:t>
      </w:r>
      <w:r>
        <w:rPr>
          <w:rFonts w:hint="eastAsia" w:ascii="Times New Roman" w:hAnsi="Times New Roman" w:eastAsia="仿宋_GB2312" w:cs="仿宋_GB2312"/>
          <w:sz w:val="30"/>
          <w:szCs w:val="30"/>
        </w:rPr>
        <w:t>99,677,100.27元，与2022年度相比，收、支总计各增加17,333,283.49元，增长21.05%，</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：本年财政保障充足，财政拨款收入增加。</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二、</w:t>
      </w:r>
      <w:r>
        <w:rPr>
          <w:rFonts w:hint="eastAsia" w:ascii="Times New Roman" w:hAnsi="Times New Roman" w:eastAsia="黑体" w:cs="黑体"/>
          <w:b/>
          <w:bCs/>
          <w:kern w:val="0"/>
          <w:sz w:val="30"/>
          <w:szCs w:val="30"/>
        </w:rPr>
        <w:t>收入决算情况</w:t>
      </w:r>
      <w:r>
        <w:rPr>
          <w:rFonts w:hint="eastAsia" w:ascii="Times New Roman" w:hAnsi="Times New Roman" w:eastAsia="黑体" w:cs="黑体"/>
          <w:b/>
          <w:bCs/>
          <w:kern w:val="0"/>
          <w:sz w:val="30"/>
          <w:szCs w:val="30"/>
          <w:lang w:val="zh-CN"/>
        </w:rPr>
        <w:t>说明</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w:t>
      </w:r>
      <w:r>
        <w:rPr>
          <w:rFonts w:hint="eastAsia" w:ascii="Times New Roman" w:hAnsi="Times New Roman" w:eastAsia="仿宋_GB2312" w:cs="Times New Roman"/>
          <w:sz w:val="30"/>
          <w:szCs w:val="30"/>
        </w:rPr>
        <w:t>2023</w:t>
      </w:r>
      <w:r>
        <w:rPr>
          <w:rFonts w:hint="eastAsia" w:ascii="Times New Roman" w:hAnsi="Times New Roman" w:eastAsia="仿宋_GB2312" w:cs="仿宋_GB2312"/>
          <w:sz w:val="30"/>
          <w:szCs w:val="30"/>
          <w:lang w:val="zh-CN"/>
        </w:rPr>
        <w:t>年度本年收入合计</w:t>
      </w:r>
      <w:r>
        <w:rPr>
          <w:rFonts w:hint="eastAsia" w:ascii="Times New Roman" w:hAnsi="Times New Roman" w:eastAsia="仿宋_GB2312" w:cs="Times New Roman"/>
          <w:sz w:val="30"/>
          <w:szCs w:val="30"/>
        </w:rPr>
        <w:t>99,609,602.23</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年度相比增加18,156,145.33元，</w:t>
      </w:r>
      <w:r>
        <w:rPr>
          <w:rFonts w:hint="eastAsia" w:ascii="Times New Roman" w:hAnsi="Times New Roman" w:eastAsia="仿宋_GB2312" w:cs="仿宋_GB2312"/>
          <w:kern w:val="0"/>
          <w:sz w:val="30"/>
          <w:szCs w:val="30"/>
          <w:lang w:val="zh-CN"/>
        </w:rPr>
        <w:t>主要原因是</w:t>
      </w:r>
      <w:r>
        <w:rPr>
          <w:rFonts w:hint="eastAsia" w:ascii="Times New Roman" w:hAnsi="Times New Roman" w:eastAsia="仿宋_GB2312" w:cs="仿宋_GB2312"/>
          <w:kern w:val="0"/>
          <w:sz w:val="30"/>
          <w:szCs w:val="30"/>
        </w:rPr>
        <w:t>：本年财政保障充足，财政拨款收入增加。</w:t>
      </w:r>
    </w:p>
    <w:p>
      <w:pPr>
        <w:autoSpaceDE w:val="0"/>
        <w:autoSpaceDN w:val="0"/>
        <w:adjustRightInd w:val="0"/>
        <w:spacing w:line="60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lang w:val="zh-CN"/>
        </w:rPr>
        <w:t>一般公共预算财政拨款收入</w:t>
      </w:r>
      <w:r>
        <w:rPr>
          <w:rFonts w:hint="eastAsia" w:ascii="Times New Roman" w:hAnsi="Times New Roman" w:eastAsia="仿宋_GB2312" w:cs="Times New Roman"/>
          <w:sz w:val="30"/>
          <w:szCs w:val="30"/>
        </w:rPr>
        <w:t>99,609,602.23</w:t>
      </w:r>
      <w:r>
        <w:rPr>
          <w:rFonts w:hint="eastAsia" w:ascii="Times New Roman" w:hAnsi="Times New Roman" w:eastAsia="仿宋_GB2312" w:cs="仿宋_GB2312"/>
          <w:sz w:val="30"/>
          <w:szCs w:val="30"/>
          <w:lang w:val="zh-CN"/>
        </w:rPr>
        <w:t>元</w:t>
      </w:r>
      <w:r>
        <w:rPr>
          <w:rFonts w:ascii="Times New Roman" w:hAnsi="Times New Roman" w:eastAsia="仿宋_GB2312" w:cs="仿宋_GB2312"/>
          <w:sz w:val="30"/>
          <w:szCs w:val="30"/>
          <w:lang w:val="zh-CN"/>
        </w:rPr>
        <w:t>，占</w:t>
      </w:r>
      <w:r>
        <w:rPr>
          <w:rFonts w:hint="eastAsia" w:ascii="Times New Roman" w:hAnsi="Times New Roman" w:eastAsia="仿宋_GB2312" w:cs="Times New Roman"/>
          <w:sz w:val="30"/>
          <w:szCs w:val="30"/>
        </w:rPr>
        <w:t>100.0</w:t>
      </w:r>
      <w:r>
        <w:rPr>
          <w:rFonts w:hint="eastAsia" w:ascii="Times New Roman" w:hAnsi="Times New Roman" w:eastAsia="宋体" w:cs="Times New Roman"/>
          <w:sz w:val="30"/>
          <w:szCs w:val="30"/>
        </w:rPr>
        <w:t>%；</w:t>
      </w:r>
      <w:r>
        <w:rPr>
          <w:rFonts w:ascii="Times New Roman" w:hAnsi="Times New Roman" w:eastAsia="仿宋_GB2312" w:cs="仿宋_GB2312"/>
          <w:sz w:val="30"/>
          <w:szCs w:val="30"/>
          <w:lang w:val="zh-CN"/>
        </w:rPr>
        <w:t>政府性基金预算财政拨款收入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国有资本经营预算财政拨款收入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财政专户管理资金收入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事业收入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事业单位经营收入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上级补助收入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eastAsia="仿宋_GB2312"/>
          <w:sz w:val="30"/>
          <w:szCs w:val="30"/>
        </w:rPr>
        <w:t>附属单位上缴收入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其他收入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三、支出</w:t>
      </w:r>
      <w:r>
        <w:rPr>
          <w:rFonts w:hint="eastAsia" w:ascii="Times New Roman" w:hAnsi="Times New Roman" w:eastAsia="黑体" w:cs="黑体"/>
          <w:b/>
          <w:bCs/>
          <w:kern w:val="0"/>
          <w:sz w:val="30"/>
          <w:szCs w:val="30"/>
        </w:rPr>
        <w:t>决算情况说明</w:t>
      </w:r>
    </w:p>
    <w:p>
      <w:pPr>
        <w:autoSpaceDE w:val="0"/>
        <w:autoSpaceDN w:val="0"/>
        <w:adjustRightInd w:val="0"/>
        <w:spacing w:line="58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年度本年支出合计99,672,615.23元，与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年度相比增加17,404,879.05元，</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本年财政保障充足，财政拨款收入增加。</w:t>
      </w:r>
    </w:p>
    <w:p>
      <w:pPr>
        <w:autoSpaceDE w:val="0"/>
        <w:autoSpaceDN w:val="0"/>
        <w:adjustRightInd w:val="0"/>
        <w:spacing w:line="580" w:lineRule="exact"/>
        <w:ind w:firstLine="600"/>
        <w:jc w:val="both"/>
        <w:rPr>
          <w:rFonts w:ascii="Times New Roman" w:hAnsi="Times New Roman" w:eastAsia="黑体" w:cs="黑体"/>
          <w:sz w:val="30"/>
          <w:szCs w:val="30"/>
          <w:lang w:val="zh-CN"/>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rPr>
        <w:t>基本支出</w:t>
      </w:r>
      <w:r>
        <w:rPr>
          <w:rFonts w:hint="eastAsia" w:ascii="Times New Roman" w:hAnsi="Times New Roman" w:eastAsia="仿宋_GB2312" w:cs="仿宋_GB2312"/>
          <w:sz w:val="30"/>
          <w:szCs w:val="30"/>
        </w:rPr>
        <w:t>84,391,423.61元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占84.67%；</w:t>
      </w:r>
      <w:r>
        <w:rPr>
          <w:rFonts w:ascii="Times New Roman" w:hAnsi="Times New Roman" w:eastAsia="仿宋_GB2312" w:cs="仿宋_GB2312"/>
          <w:sz w:val="30"/>
          <w:szCs w:val="30"/>
        </w:rPr>
        <w:t>项目支出</w:t>
      </w:r>
      <w:r>
        <w:rPr>
          <w:rFonts w:hint="eastAsia" w:ascii="Times New Roman" w:hAnsi="Times New Roman" w:eastAsia="仿宋_GB2312" w:cs="仿宋_GB2312"/>
          <w:sz w:val="30"/>
          <w:szCs w:val="30"/>
        </w:rPr>
        <w:t>15,281,191.62元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占15.33%；</w:t>
      </w:r>
      <w:r>
        <w:rPr>
          <w:rFonts w:ascii="Times New Roman" w:hAnsi="Times New Roman" w:eastAsia="仿宋_GB2312" w:cs="仿宋_GB2312"/>
          <w:sz w:val="30"/>
          <w:szCs w:val="30"/>
        </w:rPr>
        <w:t>上缴上级支出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r>
        <w:rPr>
          <w:rFonts w:ascii="Times New Roman" w:hAnsi="Times New Roman" w:eastAsia="仿宋_GB2312" w:cs="仿宋_GB2312"/>
          <w:sz w:val="30"/>
          <w:szCs w:val="30"/>
        </w:rPr>
        <w:t>经营支出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r>
        <w:rPr>
          <w:rFonts w:ascii="Times New Roman" w:hAnsi="Times New Roman" w:eastAsia="仿宋_GB2312" w:cs="仿宋_GB2312"/>
          <w:sz w:val="30"/>
          <w:szCs w:val="30"/>
        </w:rPr>
        <w:t>对附属单位补助支出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四、财政拨款收支决算总体情况说明</w:t>
      </w:r>
    </w:p>
    <w:p>
      <w:pPr>
        <w:autoSpaceDE w:val="0"/>
        <w:autoSpaceDN w:val="0"/>
        <w:adjustRightInd w:val="0"/>
        <w:spacing w:line="58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天津市北辰区市场监督管理局</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年度财政拨款收入、支出决算总计</w:t>
      </w:r>
      <w:r>
        <w:rPr>
          <w:rFonts w:hint="eastAsia" w:ascii="Times New Roman" w:hAnsi="Times New Roman" w:eastAsia="仿宋_GB2312" w:cs="Times New Roman"/>
          <w:sz w:val="30"/>
          <w:szCs w:val="30"/>
          <w:lang w:val="zh-CN"/>
        </w:rPr>
        <w:t>99,609,602.23</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年度相比，财政拨款收、支总计各增加17,419,551.85元，增长21.19</w:t>
      </w:r>
      <w:r>
        <w:rPr>
          <w:rFonts w:hint="eastAsia" w:ascii="Times New Roman" w:hAnsi="Times New Roman" w:eastAsia="仿宋_GB2312" w:cs="Times New Roman"/>
          <w:sz w:val="30"/>
          <w:szCs w:val="30"/>
        </w:rPr>
        <w:t>%</w:t>
      </w:r>
      <w:r>
        <w:rPr>
          <w:rFonts w:hint="eastAsia" w:ascii="Times New Roman" w:hAnsi="Times New Roman" w:eastAsia="仿宋_GB2312" w:cs="仿宋_GB2312"/>
          <w:sz w:val="30"/>
          <w:szCs w:val="30"/>
        </w:rPr>
        <w:t>，</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本年财政保障充足，财政拨款收入增加。</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五、一般公共预算财政拨款支出决算情况说明</w:t>
      </w:r>
    </w:p>
    <w:p>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p>
    <w:p>
      <w:pPr>
        <w:autoSpaceDE w:val="0"/>
        <w:autoSpaceDN w:val="0"/>
        <w:adjustRightInd w:val="0"/>
        <w:spacing w:line="600" w:lineRule="exact"/>
        <w:ind w:firstLine="72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天津市北辰区市场监督管理局2023年度部门决算一般公共预算财政拨款支出</w:t>
      </w:r>
      <w:r>
        <w:rPr>
          <w:rFonts w:hint="eastAsia" w:ascii="Times New Roman" w:hAnsi="Times New Roman" w:eastAsia="仿宋_GB2312" w:cs="仿宋_GB2312"/>
          <w:sz w:val="30"/>
          <w:szCs w:val="30"/>
          <w:lang w:val="zh-CN"/>
        </w:rPr>
        <w:t>合</w:t>
      </w:r>
      <w:r>
        <w:rPr>
          <w:rFonts w:hint="eastAsia" w:ascii="Times New Roman" w:hAnsi="Times New Roman" w:eastAsia="仿宋_GB2312" w:cs="仿宋_GB2312"/>
          <w:sz w:val="30"/>
          <w:szCs w:val="30"/>
        </w:rPr>
        <w:t>计99,609,602.23元，占本年支出合计的99.94%，与2022年度相比，一般公共预算财政拨款支出增加17,419,551.85元，增长21.19%，</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：本年财政保障充足，财政拨款收入增加。</w:t>
      </w:r>
    </w:p>
    <w:p>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w:t>
      </w:r>
      <w:r>
        <w:rPr>
          <w:rFonts w:hint="eastAsia" w:ascii="Times New Roman" w:hAnsi="Times New Roman" w:eastAsia="楷体" w:cs="楷体"/>
          <w:b/>
          <w:bCs/>
          <w:kern w:val="0"/>
          <w:sz w:val="30"/>
          <w:szCs w:val="30"/>
          <w:lang w:val="zh-CN"/>
        </w:rPr>
        <w:t>支出结构</w:t>
      </w:r>
      <w:r>
        <w:rPr>
          <w:rFonts w:hint="eastAsia" w:ascii="Times New Roman" w:hAnsi="Times New Roman" w:eastAsia="楷体" w:cs="楷体"/>
          <w:b/>
          <w:bCs/>
          <w:kern w:val="0"/>
          <w:sz w:val="30"/>
          <w:szCs w:val="30"/>
        </w:rPr>
        <w:t>情况</w:t>
      </w:r>
    </w:p>
    <w:p>
      <w:pPr>
        <w:autoSpaceDE w:val="0"/>
        <w:autoSpaceDN w:val="0"/>
        <w:adjustRightInd w:val="0"/>
        <w:spacing w:line="600" w:lineRule="exact"/>
        <w:ind w:firstLine="72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2023年度一般公共预算财政拨款支出</w:t>
      </w:r>
      <w:r>
        <w:rPr>
          <w:rFonts w:hint="eastAsia" w:ascii="Times New Roman" w:hAnsi="Times New Roman" w:eastAsia="仿宋_GB2312" w:cs="Times New Roman"/>
          <w:sz w:val="30"/>
          <w:szCs w:val="30"/>
        </w:rPr>
        <w:t>99,609,602.23</w:t>
      </w:r>
      <w:r>
        <w:rPr>
          <w:rFonts w:hint="eastAsia" w:ascii="Times New Roman" w:hAnsi="Times New Roman" w:eastAsia="仿宋_GB2312" w:cs="仿宋_GB2312"/>
          <w:sz w:val="30"/>
          <w:szCs w:val="30"/>
        </w:rPr>
        <w:t>元，</w:t>
      </w:r>
      <w:r>
        <w:rPr>
          <w:rFonts w:hint="eastAsia" w:ascii="Times New Roman" w:hAnsi="Times New Roman" w:eastAsia="仿宋_GB2312" w:cs="仿宋_GB2312"/>
          <w:kern w:val="0"/>
          <w:sz w:val="30"/>
          <w:szCs w:val="30"/>
        </w:rPr>
        <w:t>主要用于以下方面：</w:t>
      </w:r>
      <w:r>
        <w:rPr>
          <w:rFonts w:hint="eastAsia" w:ascii="Times New Roman" w:hAnsi="Times New Roman" w:eastAsia="仿宋_GB2312" w:cs="仿宋_GB2312"/>
          <w:sz w:val="30"/>
          <w:szCs w:val="30"/>
        </w:rPr>
        <w:t>一般公共服务支出95950264.88元，占96.33%；卫生健康支出3659337.35元，占3.67%。</w:t>
      </w:r>
    </w:p>
    <w:p>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（三）具体情况</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2023年度一般公共预算财政拨款支出年初预算为</w:t>
      </w:r>
      <w:r>
        <w:rPr>
          <w:rFonts w:hint="eastAsia" w:ascii="Times New Roman" w:hAnsi="Times New Roman" w:eastAsia="仿宋_GB2312" w:cs="Times New Roman"/>
          <w:sz w:val="30"/>
          <w:szCs w:val="30"/>
        </w:rPr>
        <w:t>78,986,246.18</w:t>
      </w:r>
      <w:r>
        <w:rPr>
          <w:rFonts w:hint="eastAsia" w:ascii="Times New Roman" w:hAnsi="Times New Roman" w:eastAsia="仿宋_GB2312" w:cs="仿宋_GB2312"/>
          <w:kern w:val="0"/>
          <w:sz w:val="30"/>
          <w:szCs w:val="30"/>
        </w:rPr>
        <w:t>元，支出决算为</w:t>
      </w:r>
      <w:r>
        <w:rPr>
          <w:rFonts w:hint="eastAsia" w:ascii="Times New Roman" w:hAnsi="Times New Roman" w:eastAsia="仿宋_GB2312" w:cs="Times New Roman"/>
          <w:sz w:val="30"/>
          <w:szCs w:val="30"/>
        </w:rPr>
        <w:t>99,609,602.23</w:t>
      </w:r>
      <w:r>
        <w:rPr>
          <w:rFonts w:hint="eastAsia" w:ascii="Times New Roman" w:hAnsi="Times New Roman" w:eastAsia="仿宋_GB2312" w:cs="仿宋_GB2312"/>
          <w:kern w:val="0"/>
          <w:sz w:val="30"/>
          <w:szCs w:val="30"/>
        </w:rPr>
        <w:t>元，完成年初预算的</w:t>
      </w:r>
      <w:r>
        <w:rPr>
          <w:rFonts w:hint="eastAsia" w:ascii="Times New Roman" w:hAnsi="Times New Roman" w:eastAsia="仿宋_GB2312" w:cs="Times New Roman"/>
          <w:sz w:val="30"/>
          <w:szCs w:val="30"/>
        </w:rPr>
        <w:t>126.11%</w:t>
      </w:r>
      <w:r>
        <w:rPr>
          <w:rFonts w:hint="eastAsia" w:ascii="Times New Roman" w:hAnsi="Times New Roman" w:eastAsia="仿宋_GB2312" w:cs="仿宋_GB2312"/>
          <w:kern w:val="0"/>
          <w:sz w:val="30"/>
          <w:szCs w:val="30"/>
        </w:rPr>
        <w:t>。其中：</w:t>
      </w:r>
    </w:p>
    <w:p>
      <w:pPr>
        <w:autoSpaceDE w:val="0"/>
        <w:autoSpaceDN w:val="0"/>
        <w:adjustRightInd w:val="0"/>
        <w:spacing w:line="600" w:lineRule="exact"/>
        <w:ind w:firstLine="720"/>
        <w:jc w:val="both"/>
        <w:rPr>
          <w:rFonts w:ascii="Times New Roman" w:hAnsi="Times New Roman" w:eastAsia="黑体" w:cs="黑体"/>
          <w:b/>
          <w:bCs/>
          <w:kern w:val="0"/>
          <w:sz w:val="30"/>
          <w:szCs w:val="30"/>
        </w:rPr>
      </w:pPr>
      <w:r>
        <w:rPr>
          <w:rFonts w:hint="eastAsia" w:ascii="Times New Roman" w:hAnsi="Times New Roman" w:eastAsia="仿宋_GB2312" w:cs="仿宋_GB2312"/>
          <w:sz w:val="30"/>
          <w:szCs w:val="30"/>
        </w:rPr>
        <w:t>1.一般公共服务支出（类）市场监督管理事务（款）食品安全监管（项）的年初预算数为0.00元。支出决算为3,385,705.00元，决算数大于年初预算数的主要原因是本年财政拨款增加。</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2.卫生健康支出（类）行政事业单位医疗（款）公务员医疗补助（项）的年初预算数为536,023.68元。支出决算为501,067.34元，完成年初预算的93.48%，决算数小于年初预算数的主要原因是压减支出节约开支。</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3.一般公共服务支出（类）知识产权事务（款）其他知识产权事务支出（项）的年初预算数为0.00元。支出决算为50,000.00元，决算数大于年初预算数的主要原因是本年财政拨款增加。</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4.一般公共服务支出（类）市场监督管理事务（款）一般行政管理事务（项）的年初预算数为0.00元。支出决算为4,287,335.81元，决算数大于年初预算数的主要原因是上年部分款项结转至本年支付。</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5.一般公共服务支出（类）市场监督管理事务（款）行政运行（项）的年初预算数为60,727,737.25元。支出决算为69,225,183.46元，完成年初预算的113.99%，决算数大于年初预算数的主要原因是年中因人员变动调整追加预算。</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6.一般公共服务支出（类）市场监督管理事务（款）信息化建设（项）的年初预算数为0.00元。支出决算为1,366,297.20元，决算数大于年初预算数的主要原因是本年财政拨款增加。</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7.卫生健康支出（类）行政事业单位医疗（款）事业单位医疗（项）的年初预算数为502,241.04元。支出决算为472,681.41元，完成年初预算的94.11%，决算数小于年初预算数的主要原因是压减支出节约开支。</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8.一般公共服务支出（类）市场监督管理事务（款）质量安全监管（项）的年初预算数为0.00元。支出决算为745,700.00元，决算数大于年初预算数的主要原因是上年部分款项结转至本年支付。</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9.卫生健康支出（类）行政事业单位医疗（款）其他行政事业单位医疗支出（项）的年初预算数为85,760.00元。支出决算为75,710.00元，完成年初预算的88.28%，决算数小于年初预算数的主要原因是压减支出节约开支。</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10.一般公共服务支出（类）市场监督管理事务（款）其他市场监督管理事务（项）的年初预算数为3,360,700.00元。支出决算为5,383,140.61元，完成年初预算的160.18%，决算数大于年初预算数的主要原因是上年部分款项结转至本年支付。</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11.一般公共服务支出（类）市场监督管理事务（款）事业运行（项）的年初预算数为10,959,659.89元。支出决算为11,506,902.80元，完成年初预算的104.99%，决算数大于年初预算数的主要原因是年中因人员变动调整追加预算。</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12.卫生健康支出（类）行政事业单位医疗（款）行政单位医疗（项）的年初预算数为2,814,124.32元。支出决算为2,609,878.60元，完成年初预算的92.74%，决算数小于年初预算数的主要原因是压减支出节约开支。</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六、一般公共预算财政拨款基本支出决算情况说明</w:t>
      </w:r>
    </w:p>
    <w:p>
      <w:pPr>
        <w:autoSpaceDE w:val="0"/>
        <w:autoSpaceDN w:val="0"/>
        <w:adjustRightInd w:val="0"/>
        <w:spacing w:line="600" w:lineRule="exact"/>
        <w:ind w:firstLine="72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年度部门决算一般公共预算财政拨款基本支出合计</w:t>
      </w:r>
      <w:r>
        <w:rPr>
          <w:rFonts w:hint="eastAsia" w:ascii="Times New Roman" w:hAnsi="Times New Roman" w:eastAsia="仿宋_GB2312" w:cs="Times New Roman"/>
          <w:sz w:val="30"/>
          <w:szCs w:val="30"/>
        </w:rPr>
        <w:t>84,391,423.61</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年度相比增加5,950,983.97元，</w:t>
      </w:r>
      <w:r>
        <w:rPr>
          <w:rFonts w:hint="eastAsia" w:ascii="Times New Roman" w:hAnsi="Times New Roman" w:eastAsia="仿宋_GB2312" w:cs="仿宋_GB2312"/>
          <w:kern w:val="0"/>
          <w:sz w:val="30"/>
          <w:szCs w:val="30"/>
        </w:rPr>
        <w:t>主要原因是</w:t>
      </w:r>
      <w:r>
        <w:rPr>
          <w:rFonts w:hint="eastAsia" w:ascii="Times New Roman" w:hAnsi="Times New Roman" w:eastAsia="楷体_GB2312" w:cs="楷体_GB2312"/>
          <w:sz w:val="30"/>
          <w:szCs w:val="30"/>
        </w:rPr>
        <w:t>：</w:t>
      </w:r>
      <w:r>
        <w:rPr>
          <w:rFonts w:hint="eastAsia" w:ascii="Times New Roman" w:hAnsi="Times New Roman" w:eastAsia="仿宋_GB2312" w:cs="仿宋_GB2312"/>
          <w:sz w:val="30"/>
          <w:szCs w:val="30"/>
        </w:rPr>
        <w:t>本年财政保障充足，财政拨款收入增加。</w:t>
      </w:r>
      <w:r>
        <w:rPr>
          <w:rFonts w:hint="eastAsia" w:ascii="Times New Roman" w:hAnsi="Times New Roman" w:eastAsia="仿宋_GB2312" w:cs="仿宋_GB2312"/>
          <w:kern w:val="0"/>
          <w:sz w:val="30"/>
          <w:szCs w:val="30"/>
        </w:rPr>
        <w:t>其中：</w:t>
      </w:r>
    </w:p>
    <w:p>
      <w:pPr>
        <w:autoSpaceDE w:val="0"/>
        <w:autoSpaceDN w:val="0"/>
        <w:adjustRightInd w:val="0"/>
        <w:spacing w:line="600" w:lineRule="exact"/>
        <w:ind w:firstLine="720"/>
        <w:jc w:val="both"/>
        <w:rPr>
          <w:rFonts w:ascii="Times New Roman" w:hAnsi="Times New Roman" w:eastAsia="黑体" w:cs="黑体"/>
          <w:b/>
          <w:bCs/>
          <w:kern w:val="0"/>
          <w:sz w:val="30"/>
          <w:szCs w:val="30"/>
        </w:rPr>
      </w:pPr>
      <w:r>
        <w:rPr>
          <w:rFonts w:hint="eastAsia" w:ascii="Times New Roman" w:hAnsi="Times New Roman" w:eastAsia="仿宋_GB2312" w:cs="仿宋_GB2312"/>
          <w:kern w:val="0"/>
          <w:sz w:val="30"/>
          <w:szCs w:val="30"/>
        </w:rPr>
        <w:t>人员经费</w:t>
      </w:r>
      <w:r>
        <w:rPr>
          <w:rFonts w:hint="eastAsia" w:ascii="Times New Roman" w:hAnsi="Times New Roman" w:eastAsia="仿宋_GB2312" w:cs="Times New Roman"/>
          <w:sz w:val="30"/>
          <w:szCs w:val="30"/>
        </w:rPr>
        <w:t>69,785,973.88</w:t>
      </w:r>
      <w:r>
        <w:rPr>
          <w:rFonts w:hint="eastAsia" w:ascii="Times New Roman" w:hAnsi="Times New Roman" w:eastAsia="仿宋_GB2312" w:cs="仿宋_GB2312"/>
          <w:kern w:val="0"/>
          <w:sz w:val="30"/>
          <w:szCs w:val="30"/>
        </w:rPr>
        <w:t>元，主要包括</w:t>
      </w:r>
      <w:r>
        <w:rPr>
          <w:rFonts w:hint="eastAsia" w:ascii="Times New Roman" w:hAnsi="Times New Roman" w:eastAsia="仿宋_GB2312" w:cs="仿宋_GB2312"/>
          <w:sz w:val="30"/>
          <w:szCs w:val="30"/>
        </w:rPr>
        <w:t>基本工资、津贴补贴、奖金、绩效工资、机关事业单位基本养老保险缴费、职业年金缴费、职工基本医疗保险缴费、公务员医疗补助缴费、其他社会保障缴费、住房公积金、医疗费、其他工资福利支出、退休费、抚恤金、生活补助、医疗费补助、奖励金；</w:t>
      </w:r>
    </w:p>
    <w:p>
      <w:pPr>
        <w:autoSpaceDE w:val="0"/>
        <w:autoSpaceDN w:val="0"/>
        <w:adjustRightInd w:val="0"/>
        <w:spacing w:line="600" w:lineRule="exact"/>
        <w:ind w:firstLine="720"/>
        <w:jc w:val="both"/>
        <w:rPr>
          <w:rFonts w:ascii="Times New Roman" w:hAnsi="Times New Roman" w:eastAsia="黑体" w:cs="黑体"/>
          <w:b/>
          <w:bCs/>
          <w:kern w:val="0"/>
          <w:sz w:val="30"/>
          <w:szCs w:val="30"/>
        </w:rPr>
      </w:pPr>
      <w:r>
        <w:rPr>
          <w:rFonts w:hint="eastAsia" w:ascii="Times New Roman" w:hAnsi="Times New Roman" w:eastAsia="仿宋_GB2312" w:cs="仿宋_GB2312"/>
          <w:kern w:val="0"/>
          <w:sz w:val="30"/>
          <w:szCs w:val="30"/>
        </w:rPr>
        <w:t>公用经费</w:t>
      </w:r>
      <w:r>
        <w:rPr>
          <w:rFonts w:hint="eastAsia" w:ascii="Times New Roman" w:hAnsi="Times New Roman" w:eastAsia="仿宋_GB2312" w:cs="Times New Roman"/>
          <w:sz w:val="30"/>
          <w:szCs w:val="30"/>
        </w:rPr>
        <w:t>14,605,449.73</w:t>
      </w:r>
      <w:r>
        <w:rPr>
          <w:rFonts w:hint="eastAsia" w:ascii="Times New Roman" w:hAnsi="Times New Roman" w:eastAsia="仿宋_GB2312" w:cs="仿宋_GB2312"/>
          <w:kern w:val="0"/>
          <w:sz w:val="30"/>
          <w:szCs w:val="30"/>
        </w:rPr>
        <w:t>元，主要包括</w:t>
      </w:r>
      <w:r>
        <w:rPr>
          <w:rFonts w:hint="eastAsia" w:ascii="Times New Roman" w:hAnsi="Times New Roman" w:eastAsia="仿宋_GB2312" w:cs="仿宋_GB2312"/>
          <w:sz w:val="30"/>
          <w:szCs w:val="30"/>
        </w:rPr>
        <w:t>办公费、印刷费、咨询费、手续费、水费、电费、邮电费、取暖费、物业管理费、差旅费、维修(护)费、租赁费、培训费、专用材料费、劳务费、委托业务费、工会经费、福利费、公务用车运行维护费、其他交通费用、税金及附加费用、其他商品和服务支出、办公设备购置。</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七、政府性基金预算财政拨款收支决算情况</w:t>
      </w:r>
    </w:p>
    <w:p>
      <w:pPr>
        <w:autoSpaceDE w:val="0"/>
        <w:autoSpaceDN w:val="0"/>
        <w:adjustRightInd w:val="0"/>
        <w:spacing w:line="580" w:lineRule="exact"/>
        <w:ind w:firstLine="600"/>
        <w:jc w:val="left"/>
        <w:rPr>
          <w:rFonts w:ascii="Times New Roman" w:hAnsi="Times New Roman" w:eastAsia="楷体" w:cs="楷体"/>
          <w:kern w:val="0"/>
          <w:sz w:val="30"/>
          <w:szCs w:val="30"/>
        </w:rPr>
      </w:pPr>
      <w:r>
        <w:rPr>
          <w:rFonts w:hint="eastAsia" w:ascii="Times New Roman" w:hAnsi="Times New Roman" w:eastAsia="仿宋_GB2312" w:cs="仿宋_GB2312"/>
          <w:sz w:val="30"/>
          <w:szCs w:val="30"/>
        </w:rPr>
        <w:t>天津市北辰区市场监督管理局</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年度部门决算政府性基金预算财政拨款</w:t>
      </w:r>
      <w:r>
        <w:rPr>
          <w:rFonts w:hint="eastAsia" w:ascii="Times New Roman" w:hAnsi="Times New Roman" w:eastAsia="仿宋_GB2312" w:cs="仿宋_GB2312"/>
          <w:kern w:val="0"/>
          <w:sz w:val="30"/>
          <w:szCs w:val="30"/>
        </w:rPr>
        <w:t>年初结转和结余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元，收入</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w:t>
      </w:r>
      <w:r>
        <w:rPr>
          <w:rFonts w:hint="eastAsia" w:ascii="Times New Roman" w:hAnsi="Times New Roman" w:eastAsia="仿宋_GB2312" w:cs="仿宋_GB2312"/>
          <w:sz w:val="30"/>
          <w:szCs w:val="30"/>
        </w:rPr>
        <w:t>支出</w:t>
      </w:r>
      <w:r>
        <w:rPr>
          <w:rFonts w:hint="eastAsia" w:ascii="Times New Roman" w:hAnsi="Times New Roman" w:eastAsia="仿宋_GB2312" w:cs="Times New Roman"/>
          <w:sz w:val="30"/>
          <w:szCs w:val="30"/>
        </w:rPr>
        <w:t>0.00</w:t>
      </w:r>
      <w:r>
        <w:rPr>
          <w:rFonts w:hint="eastAsia" w:ascii="Times New Roman" w:hAnsi="Times New Roman" w:eastAsia="仿宋_GB2312" w:cs="仿宋_GB2312"/>
          <w:sz w:val="30"/>
          <w:szCs w:val="30"/>
        </w:rPr>
        <w:t>元，年末结转和结余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年度相比，政府性基金财政拨款支出持平，</w:t>
      </w:r>
      <w:r>
        <w:rPr>
          <w:rFonts w:hint="eastAsia" w:ascii="Times New Roman" w:hAnsi="Times New Roman" w:eastAsia="仿宋_GB2312" w:cs="仿宋_GB2312"/>
          <w:kern w:val="0"/>
          <w:sz w:val="30"/>
          <w:szCs w:val="30"/>
        </w:rPr>
        <w:t>主要原因是</w:t>
      </w:r>
      <w:r>
        <w:rPr>
          <w:rFonts w:hint="eastAsia" w:ascii="Times New Roman" w:hAnsi="Times New Roman" w:eastAsia="楷体_GB2312" w:cs="楷体_GB2312"/>
          <w:sz w:val="30"/>
          <w:szCs w:val="30"/>
          <w:lang w:val="zh-CN"/>
        </w:rPr>
        <w:t>：</w:t>
      </w:r>
      <w:r>
        <w:rPr>
          <w:rFonts w:hint="eastAsia" w:ascii="Times New Roman" w:hAnsi="Times New Roman" w:eastAsia="仿宋_GB2312" w:cs="仿宋_GB2312"/>
          <w:sz w:val="30"/>
          <w:szCs w:val="30"/>
        </w:rPr>
        <w:t>天津市北辰区市场监督管理局2023年度无政府性基金预算财政拨款收入、支出和结转结余。</w:t>
      </w:r>
      <w:r>
        <w:rPr>
          <w:rFonts w:hint="eastAsia" w:ascii="Times New Roman" w:hAnsi="Times New Roman" w:eastAsia="仿宋_GB2312" w:cs="仿宋_GB2312"/>
          <w:sz w:val="30"/>
          <w:szCs w:val="30"/>
        </w:rPr>
        <w:tab/>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八、国有资本经营预算财政拨款收支决算情况说明</w:t>
      </w:r>
    </w:p>
    <w:p>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color w:val="000000"/>
          <w:kern w:val="0"/>
          <w:sz w:val="30"/>
          <w:szCs w:val="30"/>
        </w:rPr>
        <w:t>天津市北辰区市场监督管理局</w:t>
      </w:r>
      <w:r>
        <w:rPr>
          <w:rFonts w:hint="eastAsia" w:ascii="Times New Roman" w:hAnsi="Times New Roman" w:eastAsia="宋体" w:cs="宋体"/>
          <w:color w:val="000000"/>
          <w:kern w:val="0"/>
          <w:sz w:val="30"/>
          <w:szCs w:val="30"/>
        </w:rPr>
        <w:t>2023</w:t>
      </w:r>
      <w:r>
        <w:rPr>
          <w:rFonts w:hint="eastAsia" w:ascii="Times New Roman" w:hAnsi="Times New Roman" w:eastAsia="仿宋_GB2312" w:cs="仿宋_GB2312"/>
          <w:kern w:val="0"/>
          <w:sz w:val="30"/>
          <w:szCs w:val="30"/>
        </w:rPr>
        <w:t>年度部门决算国有资本经营预算财政拨款年初结转和结余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元，收入</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元，支出</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w:t>
      </w:r>
      <w:r>
        <w:rPr>
          <w:rFonts w:hint="eastAsia" w:ascii="Times New Roman" w:hAnsi="Times New Roman" w:eastAsia="仿宋_GB2312" w:cs="仿宋_GB2312"/>
          <w:sz w:val="30"/>
          <w:szCs w:val="30"/>
        </w:rPr>
        <w:t>年末结转和结余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元。与2022年度相比，国有资本经营预算财政拨款支出持平</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主要原因是</w:t>
      </w:r>
      <w:r>
        <w:rPr>
          <w:rFonts w:hint="eastAsia" w:ascii="Times New Roman" w:hAnsi="Times New Roman" w:eastAsia="楷体_GB2312" w:cs="楷体_GB2312"/>
          <w:sz w:val="30"/>
          <w:szCs w:val="30"/>
          <w:lang w:val="zh-CN"/>
        </w:rPr>
        <w:t>：</w:t>
      </w:r>
      <w:r>
        <w:rPr>
          <w:rFonts w:hint="eastAsia" w:ascii="Times New Roman" w:hAnsi="Times New Roman" w:eastAsia="仿宋_GB2312" w:cs="仿宋_GB2312"/>
          <w:sz w:val="30"/>
          <w:szCs w:val="30"/>
        </w:rPr>
        <w:t>天津市北辰区市场监督管理局2023年度无国有资本经营预算财政拨款收入、支出和结转结余。</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九、财政拨款</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三公</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经费</w:t>
      </w:r>
      <w:r>
        <w:rPr>
          <w:rFonts w:hint="eastAsia" w:ascii="Times New Roman" w:hAnsi="Times New Roman" w:eastAsia="黑体" w:cs="黑体"/>
          <w:b/>
          <w:bCs/>
          <w:kern w:val="0"/>
          <w:sz w:val="30"/>
          <w:szCs w:val="30"/>
          <w:lang w:val="zh-CN"/>
        </w:rPr>
        <w:t>支出决算</w:t>
      </w:r>
      <w:r>
        <w:rPr>
          <w:rFonts w:hint="eastAsia" w:ascii="Times New Roman" w:hAnsi="Times New Roman" w:eastAsia="黑体" w:cs="黑体"/>
          <w:b/>
          <w:bCs/>
          <w:kern w:val="0"/>
          <w:sz w:val="30"/>
          <w:szCs w:val="30"/>
        </w:rPr>
        <w:t>情况</w:t>
      </w:r>
    </w:p>
    <w:p>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p>
    <w:p>
      <w:pPr>
        <w:autoSpaceDE w:val="0"/>
        <w:autoSpaceDN w:val="0"/>
        <w:adjustRightInd w:val="0"/>
        <w:spacing w:line="600" w:lineRule="exact"/>
        <w:ind w:firstLine="600"/>
        <w:jc w:val="both"/>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经费预算</w:t>
      </w:r>
      <w:r>
        <w:rPr>
          <w:rFonts w:hint="eastAsia" w:ascii="Times New Roman" w:hAnsi="Times New Roman" w:eastAsia="仿宋_GB2312" w:cs="Times New Roman"/>
          <w:kern w:val="0"/>
          <w:sz w:val="30"/>
          <w:szCs w:val="30"/>
        </w:rPr>
        <w:t>322,000.00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319,751.70</w:t>
      </w:r>
      <w:r>
        <w:rPr>
          <w:rFonts w:hint="eastAsia" w:ascii="Times New Roman" w:hAnsi="Times New Roman" w:eastAsia="仿宋_GB2312" w:cs="仿宋_GB2312"/>
          <w:kern w:val="0"/>
          <w:sz w:val="30"/>
          <w:szCs w:val="30"/>
        </w:rPr>
        <w:t>元，与</w:t>
      </w: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3年预算相比</w:t>
      </w:r>
      <w:r>
        <w:rPr>
          <w:rFonts w:hint="eastAsia" w:ascii="Times New Roman" w:hAnsi="Times New Roman" w:eastAsia="仿宋_GB2312" w:cs="仿宋_GB2312"/>
          <w:sz w:val="30"/>
          <w:szCs w:val="30"/>
        </w:rPr>
        <w:t>减少</w:t>
      </w:r>
      <w:r>
        <w:rPr>
          <w:rFonts w:hint="eastAsia" w:ascii="Times New Roman" w:hAnsi="Times New Roman" w:eastAsia="仿宋_GB2312" w:cs="Times New Roman"/>
          <w:kern w:val="0"/>
          <w:sz w:val="30"/>
          <w:szCs w:val="30"/>
        </w:rPr>
        <w:t>2,248.30</w:t>
      </w:r>
      <w:r>
        <w:rPr>
          <w:rFonts w:hint="eastAsia" w:ascii="Times New Roman" w:hAnsi="Times New Roman" w:eastAsia="仿宋_GB2312" w:cs="仿宋_GB2312"/>
          <w:kern w:val="0"/>
          <w:sz w:val="30"/>
          <w:szCs w:val="30"/>
        </w:rPr>
        <w:t>元，完成预算的99.3</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28,553.00元，</w:t>
      </w:r>
      <w:r>
        <w:rPr>
          <w:rFonts w:hint="eastAsia" w:ascii="Times New Roman" w:hAnsi="Times New Roman" w:eastAsia="仿宋_GB2312" w:cs="仿宋_GB2312"/>
          <w:sz w:val="30"/>
          <w:szCs w:val="30"/>
        </w:rPr>
        <w:t>增长</w:t>
      </w:r>
      <w:r>
        <w:rPr>
          <w:rFonts w:hint="eastAsia" w:ascii="Times New Roman" w:hAnsi="Times New Roman" w:eastAsia="仿宋_GB2312" w:cs="仿宋_GB2312"/>
          <w:kern w:val="0"/>
          <w:sz w:val="30"/>
          <w:szCs w:val="30"/>
        </w:rPr>
        <w:t>9.81</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小于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节约开支</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执法执勤车辆老化，我单位加强了车辆的检查和维修力度，致使车辆维修费用增加。</w:t>
      </w:r>
    </w:p>
    <w:p>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（二）具体情况</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1.</w:t>
      </w:r>
      <w:r>
        <w:rPr>
          <w:rFonts w:hint="eastAsia" w:ascii="Times New Roman" w:hAnsi="Times New Roman" w:eastAsia="仿宋_GB2312" w:cs="仿宋_GB2312"/>
          <w:kern w:val="0"/>
          <w:sz w:val="30"/>
          <w:szCs w:val="30"/>
        </w:rPr>
        <w:t>因公出国（境）费预算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，完成预算的0.0</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本年未用财政拨款经费列支因公出国（境）费</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本年未用财政拨款经费列支因公出国（境）费。</w:t>
      </w:r>
    </w:p>
    <w:p>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3年本单位组织的出国团组</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个，出国</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pPr>
        <w:autoSpaceDE w:val="0"/>
        <w:autoSpaceDN w:val="0"/>
        <w:adjustRightInd w:val="0"/>
        <w:spacing w:line="600" w:lineRule="exact"/>
        <w:ind w:firstLine="600"/>
        <w:jc w:val="both"/>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公务用车购置及运行维护费预算</w:t>
      </w:r>
      <w:r>
        <w:rPr>
          <w:rFonts w:hint="eastAsia" w:ascii="Times New Roman" w:hAnsi="Times New Roman" w:eastAsia="仿宋_GB2312" w:cs="Times New Roman"/>
          <w:kern w:val="0"/>
          <w:sz w:val="30"/>
          <w:szCs w:val="30"/>
        </w:rPr>
        <w:t>322,000.00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319,751.70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减少</w:t>
      </w:r>
      <w:r>
        <w:rPr>
          <w:rFonts w:hint="eastAsia" w:ascii="Times New Roman" w:hAnsi="Times New Roman" w:eastAsia="仿宋_GB2312" w:cs="Times New Roman"/>
          <w:kern w:val="0"/>
          <w:sz w:val="30"/>
          <w:szCs w:val="30"/>
        </w:rPr>
        <w:t>2,248.30</w:t>
      </w:r>
      <w:r>
        <w:rPr>
          <w:rFonts w:hint="eastAsia" w:ascii="Times New Roman" w:hAnsi="Times New Roman" w:eastAsia="仿宋_GB2312" w:cs="仿宋_GB2312"/>
          <w:kern w:val="0"/>
          <w:sz w:val="30"/>
          <w:szCs w:val="30"/>
        </w:rPr>
        <w:t>元，完成预算的99.3</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28,553.00元，</w:t>
      </w:r>
      <w:r>
        <w:rPr>
          <w:rFonts w:hint="eastAsia" w:ascii="Times New Roman" w:hAnsi="Times New Roman" w:eastAsia="仿宋_GB2312" w:cs="仿宋_GB2312"/>
          <w:sz w:val="30"/>
          <w:szCs w:val="30"/>
        </w:rPr>
        <w:t>增长</w:t>
      </w:r>
      <w:r>
        <w:rPr>
          <w:rFonts w:hint="eastAsia" w:ascii="Times New Roman" w:hAnsi="Times New Roman" w:eastAsia="仿宋_GB2312" w:cs="仿宋_GB2312"/>
          <w:kern w:val="0"/>
          <w:sz w:val="30"/>
          <w:szCs w:val="30"/>
        </w:rPr>
        <w:t>9.81</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小于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节约开支</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执法执勤车辆老化，我单位加强了车辆的检查和维修力度，致使车辆维修费用增加。</w:t>
      </w:r>
      <w:r>
        <w:rPr>
          <w:rFonts w:hint="eastAsia" w:ascii="Times New Roman" w:hAnsi="Times New Roman" w:eastAsia="仿宋_GB2312" w:cs="仿宋_GB2312"/>
          <w:kern w:val="0"/>
          <w:sz w:val="30"/>
          <w:szCs w:val="30"/>
        </w:rPr>
        <w:t>其中：</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公务用车运行维护费预算</w:t>
      </w:r>
      <w:r>
        <w:rPr>
          <w:rFonts w:hint="eastAsia" w:ascii="Times New Roman" w:hAnsi="Times New Roman" w:eastAsia="仿宋_GB2312" w:cs="Times New Roman"/>
          <w:kern w:val="0"/>
          <w:sz w:val="30"/>
          <w:szCs w:val="30"/>
        </w:rPr>
        <w:t>322,000.00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319,751.70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减少</w:t>
      </w:r>
      <w:r>
        <w:rPr>
          <w:rFonts w:hint="eastAsia" w:ascii="Times New Roman" w:hAnsi="Times New Roman" w:eastAsia="仿宋_GB2312" w:cs="Times New Roman"/>
          <w:kern w:val="0"/>
          <w:sz w:val="30"/>
          <w:szCs w:val="30"/>
        </w:rPr>
        <w:t>2,248.30</w:t>
      </w:r>
      <w:r>
        <w:rPr>
          <w:rFonts w:hint="eastAsia" w:ascii="Times New Roman" w:hAnsi="Times New Roman" w:eastAsia="仿宋_GB2312" w:cs="仿宋_GB2312"/>
          <w:kern w:val="0"/>
          <w:sz w:val="30"/>
          <w:szCs w:val="30"/>
        </w:rPr>
        <w:t>元，完成预算的99.3</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28,553.00元，</w:t>
      </w:r>
      <w:r>
        <w:rPr>
          <w:rFonts w:hint="eastAsia" w:ascii="Times New Roman" w:hAnsi="Times New Roman" w:eastAsia="仿宋_GB2312" w:cs="仿宋_GB2312"/>
          <w:sz w:val="30"/>
          <w:szCs w:val="30"/>
        </w:rPr>
        <w:t>增长</w:t>
      </w:r>
      <w:r>
        <w:rPr>
          <w:rFonts w:hint="eastAsia" w:ascii="Times New Roman" w:hAnsi="Times New Roman" w:eastAsia="仿宋_GB2312" w:cs="仿宋_GB2312"/>
          <w:kern w:val="0"/>
          <w:sz w:val="30"/>
          <w:szCs w:val="30"/>
        </w:rPr>
        <w:t>9.81</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小于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节约开支</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执法执勤车辆老化，我单位加强了车辆的检查和维修力度，致使车辆维修费用增加。</w:t>
      </w:r>
    </w:p>
    <w:p>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截至</w:t>
      </w: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w:t>
      </w:r>
      <w:r>
        <w:rPr>
          <w:rFonts w:ascii="Times New Roman" w:hAnsi="Times New Roman" w:eastAsia="仿宋_GB2312" w:cs="仿宋_GB2312"/>
          <w:kern w:val="0"/>
          <w:sz w:val="30"/>
          <w:szCs w:val="30"/>
        </w:rPr>
        <w:t>12</w:t>
      </w:r>
      <w:r>
        <w:rPr>
          <w:rFonts w:hint="eastAsia" w:ascii="Times New Roman" w:hAnsi="Times New Roman" w:eastAsia="仿宋_GB2312" w:cs="仿宋_GB2312"/>
          <w:kern w:val="0"/>
          <w:sz w:val="30"/>
          <w:szCs w:val="30"/>
        </w:rPr>
        <w:t>月</w:t>
      </w:r>
      <w:r>
        <w:rPr>
          <w:rFonts w:ascii="Times New Roman" w:hAnsi="Times New Roman" w:eastAsia="仿宋_GB2312" w:cs="仿宋_GB2312"/>
          <w:kern w:val="0"/>
          <w:sz w:val="30"/>
          <w:szCs w:val="30"/>
        </w:rPr>
        <w:t>31</w:t>
      </w:r>
      <w:r>
        <w:rPr>
          <w:rFonts w:hint="eastAsia" w:ascii="Times New Roman" w:hAnsi="Times New Roman" w:eastAsia="仿宋_GB2312" w:cs="仿宋_GB2312"/>
          <w:kern w:val="0"/>
          <w:sz w:val="30"/>
          <w:szCs w:val="30"/>
        </w:rPr>
        <w:t>日，使用财政拨款开支运行维护费的公务用车保有量为</w:t>
      </w:r>
      <w:r>
        <w:rPr>
          <w:rFonts w:hint="eastAsia" w:ascii="Times New Roman" w:hAnsi="Times New Roman" w:eastAsia="仿宋_GB2312" w:cs="Times New Roman"/>
          <w:kern w:val="0"/>
          <w:sz w:val="30"/>
          <w:szCs w:val="30"/>
        </w:rPr>
        <w:t>43</w:t>
      </w:r>
      <w:r>
        <w:rPr>
          <w:rFonts w:hint="eastAsia" w:ascii="Times New Roman" w:hAnsi="Times New Roman" w:eastAsia="仿宋_GB2312" w:cs="仿宋_GB2312"/>
          <w:kern w:val="0"/>
          <w:sz w:val="30"/>
          <w:szCs w:val="30"/>
        </w:rPr>
        <w:t>辆。</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公务用车购置费预算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，完成预算的0.0</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本年度未用财政拨款经费</w:t>
      </w:r>
      <w:r>
        <w:rPr>
          <w:rFonts w:hint="eastAsia" w:ascii="Times New Roman" w:hAnsi="Times New Roman" w:eastAsia="仿宋_GB2312" w:cs="仿宋_GB2312"/>
          <w:sz w:val="30"/>
          <w:szCs w:val="30"/>
          <w:lang w:eastAsia="zh-CN"/>
        </w:rPr>
        <w:t>列支</w:t>
      </w:r>
      <w:r>
        <w:rPr>
          <w:rFonts w:hint="eastAsia" w:ascii="Times New Roman" w:hAnsi="Times New Roman" w:eastAsia="仿宋_GB2312" w:cs="仿宋_GB2312"/>
          <w:sz w:val="30"/>
          <w:szCs w:val="30"/>
        </w:rPr>
        <w:t>公务用车</w:t>
      </w:r>
      <w:r>
        <w:rPr>
          <w:rFonts w:hint="eastAsia" w:ascii="Times New Roman" w:hAnsi="Times New Roman" w:eastAsia="仿宋_GB2312" w:cs="仿宋_GB2312"/>
          <w:sz w:val="30"/>
          <w:szCs w:val="30"/>
          <w:lang w:eastAsia="zh-CN"/>
        </w:rPr>
        <w:t>购置费</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本年度未用财政拨款经费</w:t>
      </w:r>
      <w:r>
        <w:rPr>
          <w:rFonts w:hint="eastAsia" w:ascii="Times New Roman" w:hAnsi="Times New Roman" w:eastAsia="仿宋_GB2312" w:cs="仿宋_GB2312"/>
          <w:sz w:val="30"/>
          <w:szCs w:val="30"/>
          <w:lang w:eastAsia="zh-CN"/>
        </w:rPr>
        <w:t>列支</w:t>
      </w:r>
      <w:r>
        <w:rPr>
          <w:rFonts w:hint="eastAsia" w:ascii="Times New Roman" w:hAnsi="Times New Roman" w:eastAsia="仿宋_GB2312" w:cs="仿宋_GB2312"/>
          <w:sz w:val="30"/>
          <w:szCs w:val="30"/>
        </w:rPr>
        <w:t>公务用车</w:t>
      </w:r>
      <w:r>
        <w:rPr>
          <w:rFonts w:hint="eastAsia" w:ascii="Times New Roman" w:hAnsi="Times New Roman" w:eastAsia="仿宋_GB2312" w:cs="仿宋_GB2312"/>
          <w:sz w:val="30"/>
          <w:szCs w:val="30"/>
          <w:lang w:eastAsia="zh-CN"/>
        </w:rPr>
        <w:t>购置费</w:t>
      </w:r>
      <w:r>
        <w:rPr>
          <w:rFonts w:hint="eastAsia" w:ascii="Times New Roman" w:hAnsi="Times New Roman" w:eastAsia="仿宋_GB2312" w:cs="仿宋_GB2312"/>
          <w:sz w:val="30"/>
          <w:szCs w:val="30"/>
        </w:rPr>
        <w:t>。</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3年购置公务用车</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辆。</w:t>
      </w:r>
    </w:p>
    <w:p>
      <w:pPr>
        <w:autoSpaceDE w:val="0"/>
        <w:autoSpaceDN w:val="0"/>
        <w:adjustRightInd w:val="0"/>
        <w:spacing w:line="600" w:lineRule="exact"/>
        <w:ind w:firstLine="645"/>
        <w:jc w:val="both"/>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公务接待费预算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，完成预算的0.0</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本年度未用财政拨款经费列支公务接待费</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本年度未用财政拨款经费列支公务接待费。</w:t>
      </w:r>
    </w:p>
    <w:p>
      <w:pPr>
        <w:autoSpaceDE w:val="0"/>
        <w:autoSpaceDN w:val="0"/>
        <w:adjustRightInd w:val="0"/>
        <w:spacing w:line="600" w:lineRule="exact"/>
        <w:ind w:firstLine="645"/>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3年本单位国内公务接待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人次；其中，外事接待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十、机关运行经费支出情况说明</w:t>
      </w:r>
    </w:p>
    <w:p>
      <w:pPr>
        <w:autoSpaceDE w:val="0"/>
        <w:autoSpaceDN w:val="0"/>
        <w:adjustRightInd w:val="0"/>
        <w:spacing w:line="580" w:lineRule="exact"/>
        <w:ind w:firstLine="600"/>
        <w:jc w:val="both"/>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rPr>
        <w:t>天津市北辰区市场监督管理局</w:t>
      </w:r>
      <w:r>
        <w:rPr>
          <w:rFonts w:hint="eastAsia" w:ascii="Times New Roman" w:hAnsi="Times New Roman" w:eastAsia="宋体" w:cs="宋体"/>
          <w:kern w:val="0"/>
          <w:sz w:val="30"/>
          <w:szCs w:val="30"/>
        </w:rPr>
        <w:t>2023</w:t>
      </w:r>
      <w:r>
        <w:rPr>
          <w:rFonts w:hint="eastAsia" w:ascii="Times New Roman" w:hAnsi="Times New Roman" w:eastAsia="仿宋_GB2312" w:cs="仿宋_GB2312"/>
          <w:kern w:val="0"/>
          <w:sz w:val="30"/>
          <w:szCs w:val="30"/>
        </w:rPr>
        <w:t>年度机关运行经费决算数</w:t>
      </w:r>
      <w:r>
        <w:rPr>
          <w:rFonts w:hint="eastAsia" w:ascii="Times New Roman" w:hAnsi="Times New Roman" w:eastAsia="仿宋_GB2312" w:cs="Times New Roman"/>
          <w:kern w:val="0"/>
          <w:sz w:val="30"/>
          <w:szCs w:val="30"/>
        </w:rPr>
        <w:t>14,071,536.71</w:t>
      </w:r>
      <w:r>
        <w:rPr>
          <w:rFonts w:hint="eastAsia" w:ascii="Times New Roman" w:hAnsi="Times New Roman" w:eastAsia="仿宋_GB2312" w:cs="仿宋_GB2312"/>
          <w:kern w:val="0"/>
          <w:sz w:val="30"/>
          <w:szCs w:val="30"/>
        </w:rPr>
        <w:t>元，比</w:t>
      </w:r>
      <w:r>
        <w:rPr>
          <w:rFonts w:hint="eastAsia" w:ascii="Times New Roman" w:hAnsi="Times New Roman" w:eastAsia="仿宋_GB2312" w:cs="Times New Roman"/>
          <w:kern w:val="0"/>
          <w:sz w:val="30"/>
          <w:szCs w:val="30"/>
        </w:rPr>
        <w:t>2022</w:t>
      </w:r>
      <w:r>
        <w:rPr>
          <w:rFonts w:hint="eastAsia" w:ascii="Times New Roman" w:hAnsi="Times New Roman" w:eastAsia="仿宋_GB2312" w:cs="仿宋_GB2312"/>
          <w:kern w:val="0"/>
          <w:sz w:val="30"/>
          <w:szCs w:val="30"/>
        </w:rPr>
        <w:t>年增加4,522,286.42元，增长47.36</w:t>
      </w:r>
      <w:r>
        <w:rPr>
          <w:rFonts w:hint="eastAsia" w:ascii="Times New Roman" w:hAnsi="Times New Roman" w:eastAsia="仿宋_GB2312" w:cs="Times New Roman"/>
          <w:kern w:val="0"/>
          <w:sz w:val="30"/>
          <w:szCs w:val="30"/>
        </w:rPr>
        <w:t>%</w:t>
      </w:r>
      <w:r>
        <w:rPr>
          <w:rFonts w:hint="eastAsia" w:ascii="Times New Roman" w:hAnsi="Times New Roman" w:eastAsia="仿宋_GB2312" w:cs="仿宋_GB2312"/>
          <w:kern w:val="0"/>
          <w:sz w:val="30"/>
          <w:szCs w:val="30"/>
        </w:rPr>
        <w:t>。主要原因是：</w:t>
      </w:r>
      <w:r>
        <w:rPr>
          <w:rFonts w:hint="eastAsia" w:ascii="Times New Roman" w:hAnsi="Times New Roman" w:eastAsia="仿宋_GB2312" w:cs="仿宋_GB2312"/>
          <w:sz w:val="30"/>
          <w:szCs w:val="30"/>
        </w:rPr>
        <w:t>上年部分款项结转至本年支付。</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十一、政府采购支出情况说明</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color w:val="000000"/>
          <w:kern w:val="0"/>
          <w:sz w:val="30"/>
          <w:szCs w:val="30"/>
        </w:rPr>
        <w:t>天津市北辰区市场监督管理局</w:t>
      </w:r>
      <w:r>
        <w:rPr>
          <w:rFonts w:hint="eastAsia" w:ascii="Times New Roman" w:hAnsi="Times New Roman" w:eastAsia="宋体" w:cs="宋体"/>
          <w:color w:val="000000"/>
          <w:kern w:val="0"/>
          <w:sz w:val="30"/>
          <w:szCs w:val="30"/>
        </w:rPr>
        <w:t>2023</w:t>
      </w:r>
      <w:r>
        <w:rPr>
          <w:rFonts w:hint="eastAsia" w:ascii="Times New Roman" w:hAnsi="Times New Roman" w:eastAsia="仿宋_GB2312" w:cs="仿宋_GB2312"/>
          <w:color w:val="000000"/>
          <w:kern w:val="0"/>
          <w:sz w:val="30"/>
          <w:szCs w:val="30"/>
        </w:rPr>
        <w:t>年</w:t>
      </w:r>
      <w:r>
        <w:rPr>
          <w:rFonts w:hint="eastAsia" w:ascii="Times New Roman" w:hAnsi="Times New Roman" w:eastAsia="仿宋_GB2312" w:cs="仿宋_GB2312"/>
          <w:sz w:val="30"/>
          <w:szCs w:val="30"/>
        </w:rPr>
        <w:t>政府</w:t>
      </w:r>
      <w:r>
        <w:rPr>
          <w:rFonts w:hint="eastAsia" w:ascii="Times New Roman" w:hAnsi="Times New Roman" w:eastAsia="仿宋_GB2312" w:cs="仿宋_GB2312"/>
          <w:color w:val="000000"/>
          <w:kern w:val="0"/>
          <w:sz w:val="30"/>
          <w:szCs w:val="30"/>
        </w:rPr>
        <w:t>采购支出总额</w:t>
      </w:r>
      <w:r>
        <w:rPr>
          <w:rFonts w:hint="eastAsia" w:ascii="Times New Roman" w:hAnsi="Times New Roman" w:eastAsia="仿宋_GB2312" w:cs="Times New Roman"/>
          <w:kern w:val="0"/>
          <w:sz w:val="30"/>
          <w:szCs w:val="30"/>
        </w:rPr>
        <w:t>12,034,063.30</w:t>
      </w:r>
      <w:r>
        <w:rPr>
          <w:rFonts w:hint="eastAsia" w:ascii="Times New Roman" w:hAnsi="Times New Roman" w:eastAsia="仿宋_GB2312" w:cs="仿宋_GB2312"/>
          <w:color w:val="000000"/>
          <w:kern w:val="0"/>
          <w:sz w:val="30"/>
          <w:szCs w:val="30"/>
        </w:rPr>
        <w:t>元，其中：政府采购货物支出</w:t>
      </w:r>
      <w:r>
        <w:rPr>
          <w:rFonts w:hint="eastAsia" w:ascii="Times New Roman" w:hAnsi="Times New Roman" w:eastAsia="仿宋_GB2312" w:cs="Times New Roman"/>
          <w:kern w:val="0"/>
          <w:sz w:val="30"/>
          <w:szCs w:val="30"/>
        </w:rPr>
        <w:t>264,051.00</w:t>
      </w:r>
      <w:r>
        <w:rPr>
          <w:rFonts w:hint="eastAsia" w:ascii="Times New Roman" w:hAnsi="Times New Roman" w:eastAsia="仿宋_GB2312" w:cs="仿宋_GB2312"/>
          <w:color w:val="000000"/>
          <w:kern w:val="0"/>
          <w:sz w:val="30"/>
          <w:szCs w:val="30"/>
        </w:rPr>
        <w:t>元、政府采购工程支出</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color w:val="000000"/>
          <w:kern w:val="0"/>
          <w:sz w:val="30"/>
          <w:szCs w:val="30"/>
        </w:rPr>
        <w:t>元、政府采购服务支出</w:t>
      </w:r>
      <w:r>
        <w:rPr>
          <w:rFonts w:hint="eastAsia" w:ascii="Times New Roman" w:hAnsi="Times New Roman" w:eastAsia="仿宋_GB2312" w:cs="Times New Roman"/>
          <w:kern w:val="0"/>
          <w:sz w:val="30"/>
          <w:szCs w:val="30"/>
        </w:rPr>
        <w:t>11,770,012.30</w:t>
      </w:r>
      <w:r>
        <w:rPr>
          <w:rFonts w:hint="eastAsia" w:ascii="Times New Roman" w:hAnsi="Times New Roman" w:eastAsia="仿宋_GB2312" w:cs="仿宋_GB2312"/>
          <w:color w:val="000000"/>
          <w:kern w:val="0"/>
          <w:sz w:val="30"/>
          <w:szCs w:val="30"/>
        </w:rPr>
        <w:t>元。授予中小企业合同金额</w:t>
      </w:r>
      <w:r>
        <w:rPr>
          <w:rFonts w:hint="eastAsia" w:ascii="Times New Roman" w:hAnsi="Times New Roman" w:eastAsia="仿宋_GB2312" w:cs="Times New Roman"/>
          <w:kern w:val="0"/>
          <w:sz w:val="30"/>
          <w:szCs w:val="30"/>
        </w:rPr>
        <w:t>10,830,949.30</w:t>
      </w:r>
      <w:r>
        <w:rPr>
          <w:rFonts w:hint="eastAsia" w:ascii="Times New Roman" w:hAnsi="Times New Roman" w:eastAsia="仿宋_GB2312" w:cs="仿宋_GB2312"/>
          <w:color w:val="000000"/>
          <w:kern w:val="0"/>
          <w:sz w:val="30"/>
          <w:szCs w:val="30"/>
        </w:rPr>
        <w:t>元，占政府采购支出总额的</w:t>
      </w:r>
      <w:r>
        <w:rPr>
          <w:rFonts w:hint="eastAsia" w:ascii="Times New Roman" w:hAnsi="Times New Roman" w:eastAsia="仿宋_GB2312" w:cs="Times New Roman"/>
          <w:kern w:val="0"/>
          <w:sz w:val="30"/>
          <w:szCs w:val="30"/>
        </w:rPr>
        <w:t>90.0%</w:t>
      </w:r>
      <w:r>
        <w:rPr>
          <w:rFonts w:hint="eastAsia" w:ascii="Times New Roman" w:hAnsi="Times New Roman" w:eastAsia="仿宋_GB2312" w:cs="仿宋_GB2312"/>
          <w:color w:val="000000"/>
          <w:kern w:val="0"/>
          <w:sz w:val="30"/>
          <w:szCs w:val="30"/>
        </w:rPr>
        <w:t>，其中：授予小微企</w:t>
      </w:r>
      <w:bookmarkStart w:id="0" w:name="_GoBack"/>
      <w:bookmarkEnd w:id="0"/>
      <w:r>
        <w:rPr>
          <w:rFonts w:hint="eastAsia" w:ascii="Times New Roman" w:hAnsi="Times New Roman" w:eastAsia="仿宋_GB2312" w:cs="仿宋_GB2312"/>
          <w:color w:val="000000"/>
          <w:kern w:val="0"/>
          <w:sz w:val="30"/>
          <w:szCs w:val="30"/>
        </w:rPr>
        <w:t>业合同金额</w:t>
      </w:r>
      <w:r>
        <w:rPr>
          <w:rFonts w:hint="eastAsia" w:ascii="Times New Roman" w:hAnsi="Times New Roman" w:eastAsia="仿宋_GB2312" w:cs="Times New Roman"/>
          <w:kern w:val="0"/>
          <w:sz w:val="30"/>
          <w:szCs w:val="30"/>
        </w:rPr>
        <w:t>5,549,374.30</w:t>
      </w:r>
      <w:r>
        <w:rPr>
          <w:rFonts w:hint="eastAsia" w:ascii="Times New Roman" w:hAnsi="Times New Roman" w:eastAsia="仿宋_GB2312" w:cs="仿宋_GB2312"/>
          <w:color w:val="000000"/>
          <w:kern w:val="0"/>
          <w:sz w:val="30"/>
          <w:szCs w:val="30"/>
        </w:rPr>
        <w:t>元，占政府采购支出总额的</w:t>
      </w:r>
      <w:r>
        <w:rPr>
          <w:rFonts w:hint="eastAsia" w:ascii="Times New Roman" w:hAnsi="Times New Roman" w:eastAsia="仿宋_GB2312" w:cs="Times New Roman"/>
          <w:kern w:val="0"/>
          <w:sz w:val="30"/>
          <w:szCs w:val="30"/>
        </w:rPr>
        <w:t>46.11%</w:t>
      </w:r>
      <w:r>
        <w:rPr>
          <w:rFonts w:hint="eastAsia" w:ascii="Times New Roman" w:hAnsi="Times New Roman" w:eastAsia="仿宋_GB2312" w:cs="仿宋_GB2312"/>
          <w:color w:val="000000"/>
          <w:kern w:val="0"/>
          <w:sz w:val="30"/>
          <w:szCs w:val="30"/>
        </w:rPr>
        <w:t>；</w:t>
      </w:r>
      <w:r>
        <w:rPr>
          <w:rFonts w:hint="eastAsia" w:ascii="Times New Roman" w:hAnsi="Times New Roman" w:eastAsia="仿宋_GB2312" w:cs="仿宋_GB2312"/>
          <w:kern w:val="0"/>
          <w:sz w:val="30"/>
          <w:szCs w:val="30"/>
        </w:rPr>
        <w:t>货物采购授予中小企业合同金额占货物支出金额的</w:t>
      </w:r>
      <w:r>
        <w:rPr>
          <w:rFonts w:hint="eastAsia" w:ascii="Times New Roman" w:hAnsi="Times New Roman" w:eastAsia="仿宋_GB2312" w:cs="仿宋_GB2312"/>
          <w:sz w:val="30"/>
          <w:szCs w:val="30"/>
        </w:rPr>
        <w:t>100.0</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，工程采购授予中小企业合同金额占工程支出金额的</w:t>
      </w:r>
      <w:r>
        <w:rPr>
          <w:rFonts w:hint="eastAsia" w:ascii="Times New Roman" w:hAnsi="Times New Roman" w:eastAsia="仿宋_GB2312" w:cs="仿宋_GB2312"/>
          <w:sz w:val="30"/>
          <w:szCs w:val="30"/>
        </w:rPr>
        <w:t>0.0</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，服务采购授予中小企业合同金额占服务支出金额的</w:t>
      </w:r>
      <w:r>
        <w:rPr>
          <w:rFonts w:hint="eastAsia" w:ascii="Times New Roman" w:hAnsi="Times New Roman" w:eastAsia="仿宋_GB2312" w:cs="仿宋_GB2312"/>
          <w:sz w:val="30"/>
          <w:szCs w:val="30"/>
        </w:rPr>
        <w:t>89.78</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十二、</w:t>
      </w:r>
      <w:r>
        <w:rPr>
          <w:rFonts w:hint="eastAsia" w:ascii="Times New Roman" w:hAnsi="Times New Roman" w:eastAsia="黑体" w:cs="黑体"/>
          <w:b/>
          <w:bCs/>
          <w:kern w:val="0"/>
          <w:sz w:val="30"/>
          <w:szCs w:val="30"/>
        </w:rPr>
        <w:t>国有资产占有使用情况说明</w:t>
      </w:r>
    </w:p>
    <w:p>
      <w:pPr>
        <w:autoSpaceDE w:val="0"/>
        <w:autoSpaceDN w:val="0"/>
        <w:adjustRightInd w:val="0"/>
        <w:spacing w:line="600" w:lineRule="exact"/>
        <w:ind w:firstLine="720"/>
        <w:jc w:val="left"/>
        <w:rPr>
          <w:rFonts w:ascii="Times New Roman" w:hAnsi="Times New Roman" w:eastAsia="仿宋_GB2312" w:cs="Times New Roman"/>
          <w:color w:val="000000"/>
          <w:kern w:val="0"/>
          <w:sz w:val="30"/>
          <w:szCs w:val="30"/>
        </w:rPr>
      </w:pPr>
      <w:r>
        <w:rPr>
          <w:rFonts w:hint="eastAsia" w:ascii="Times New Roman" w:hAnsi="Times New Roman" w:eastAsia="仿宋_GB2312" w:cs="仿宋_GB2312"/>
          <w:color w:val="000000"/>
          <w:kern w:val="0"/>
          <w:sz w:val="30"/>
          <w:szCs w:val="30"/>
        </w:rPr>
        <w:t>截至</w:t>
      </w:r>
      <w:r>
        <w:rPr>
          <w:rFonts w:ascii="Times New Roman" w:hAnsi="Times New Roman" w:eastAsia="宋体" w:cs="宋体"/>
          <w:color w:val="000000"/>
          <w:kern w:val="0"/>
          <w:sz w:val="30"/>
          <w:szCs w:val="30"/>
        </w:rPr>
        <w:t>202</w:t>
      </w:r>
      <w:r>
        <w:rPr>
          <w:rFonts w:hint="eastAsia" w:ascii="Times New Roman" w:hAnsi="Times New Roman" w:eastAsia="宋体" w:cs="宋体"/>
          <w:color w:val="000000"/>
          <w:kern w:val="0"/>
          <w:sz w:val="30"/>
          <w:szCs w:val="30"/>
        </w:rPr>
        <w:t>3</w:t>
      </w:r>
      <w:r>
        <w:rPr>
          <w:rFonts w:hint="eastAsia" w:ascii="Times New Roman" w:hAnsi="Times New Roman" w:eastAsia="仿宋_GB2312" w:cs="仿宋_GB2312"/>
          <w:color w:val="000000"/>
          <w:kern w:val="0"/>
          <w:sz w:val="30"/>
          <w:szCs w:val="30"/>
        </w:rPr>
        <w:t>年</w:t>
      </w:r>
      <w:r>
        <w:rPr>
          <w:rFonts w:ascii="Times New Roman" w:hAnsi="Times New Roman" w:eastAsia="仿宋_GB2312" w:cs="Times New Roman"/>
          <w:color w:val="000000"/>
          <w:kern w:val="0"/>
          <w:sz w:val="30"/>
          <w:szCs w:val="30"/>
        </w:rPr>
        <w:t>12</w:t>
      </w:r>
      <w:r>
        <w:rPr>
          <w:rFonts w:hint="eastAsia" w:ascii="Times New Roman" w:hAnsi="Times New Roman" w:eastAsia="仿宋_GB2312" w:cs="仿宋_GB2312"/>
          <w:color w:val="000000"/>
          <w:kern w:val="0"/>
          <w:sz w:val="30"/>
          <w:szCs w:val="30"/>
        </w:rPr>
        <w:t>月</w:t>
      </w:r>
      <w:r>
        <w:rPr>
          <w:rFonts w:ascii="Times New Roman" w:hAnsi="Times New Roman" w:eastAsia="仿宋_GB2312" w:cs="Times New Roman"/>
          <w:color w:val="000000"/>
          <w:kern w:val="0"/>
          <w:sz w:val="30"/>
          <w:szCs w:val="30"/>
        </w:rPr>
        <w:t>31</w:t>
      </w:r>
      <w:r>
        <w:rPr>
          <w:rFonts w:hint="eastAsia" w:ascii="Times New Roman" w:hAnsi="Times New Roman" w:eastAsia="仿宋_GB2312" w:cs="仿宋_GB2312"/>
          <w:color w:val="000000"/>
          <w:kern w:val="0"/>
          <w:sz w:val="30"/>
          <w:szCs w:val="30"/>
        </w:rPr>
        <w:t>日，天津市北辰区市场监督管理局共有车辆</w:t>
      </w:r>
      <w:r>
        <w:rPr>
          <w:rFonts w:hint="eastAsia" w:ascii="Times New Roman" w:hAnsi="Times New Roman" w:eastAsia="仿宋_GB2312" w:cs="Times New Roman"/>
          <w:kern w:val="0"/>
          <w:sz w:val="30"/>
          <w:szCs w:val="30"/>
        </w:rPr>
        <w:t>43</w:t>
      </w:r>
      <w:r>
        <w:rPr>
          <w:rFonts w:hint="eastAsia" w:ascii="Times New Roman" w:hAnsi="Times New Roman" w:eastAsia="仿宋_GB2312" w:cs="仿宋_GB2312"/>
          <w:color w:val="000000"/>
          <w:kern w:val="0"/>
          <w:sz w:val="30"/>
          <w:szCs w:val="30"/>
        </w:rPr>
        <w:t>辆，其中：</w:t>
      </w:r>
      <w:r>
        <w:rPr>
          <w:rFonts w:ascii="Times New Roman" w:hAnsi="Times New Roman" w:eastAsia="仿宋_GB2312" w:cs="Times New Roman"/>
          <w:kern w:val="0"/>
          <w:sz w:val="30"/>
          <w:szCs w:val="30"/>
        </w:rPr>
        <w:t>副部（省）级及以上领导用车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主要</w:t>
      </w:r>
      <w:r>
        <w:rPr>
          <w:rFonts w:hint="eastAsia" w:ascii="Times New Roman" w:hAnsi="Times New Roman" w:eastAsia="仿宋_GB2312" w:cs="Times New Roman"/>
          <w:kern w:val="0"/>
          <w:sz w:val="30"/>
          <w:szCs w:val="30"/>
        </w:rPr>
        <w:t>负责人</w:t>
      </w:r>
      <w:r>
        <w:rPr>
          <w:rFonts w:ascii="Times New Roman" w:hAnsi="Times New Roman" w:eastAsia="仿宋_GB2312" w:cs="Times New Roman"/>
          <w:kern w:val="0"/>
          <w:sz w:val="30"/>
          <w:szCs w:val="30"/>
        </w:rPr>
        <w:t>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机要通信用车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应急保障用车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执法执勤用车</w:t>
      </w:r>
      <w:r>
        <w:rPr>
          <w:rFonts w:hint="eastAsia" w:ascii="Times New Roman" w:hAnsi="Times New Roman" w:eastAsia="仿宋_GB2312" w:cs="Times New Roman"/>
          <w:kern w:val="0"/>
          <w:sz w:val="30"/>
          <w:szCs w:val="30"/>
        </w:rPr>
        <w:t>33</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特种专业技术用车</w:t>
      </w:r>
      <w:r>
        <w:rPr>
          <w:rFonts w:hint="eastAsia" w:ascii="Times New Roman" w:hAnsi="Times New Roman" w:eastAsia="仿宋_GB2312" w:cs="Times New Roman"/>
          <w:kern w:val="0"/>
          <w:sz w:val="30"/>
          <w:szCs w:val="30"/>
        </w:rPr>
        <w:t>8</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离退休干部</w:t>
      </w:r>
      <w:r>
        <w:rPr>
          <w:rFonts w:hint="eastAsia" w:ascii="Times New Roman" w:hAnsi="Times New Roman" w:eastAsia="仿宋_GB2312" w:cs="Times New Roman"/>
          <w:kern w:val="0"/>
          <w:sz w:val="30"/>
          <w:szCs w:val="30"/>
        </w:rPr>
        <w:t>服务</w:t>
      </w:r>
      <w:r>
        <w:rPr>
          <w:rFonts w:ascii="Times New Roman" w:hAnsi="Times New Roman" w:eastAsia="仿宋_GB2312" w:cs="Times New Roman"/>
          <w:kern w:val="0"/>
          <w:sz w:val="30"/>
          <w:szCs w:val="30"/>
        </w:rPr>
        <w:t>用车</w:t>
      </w:r>
      <w:r>
        <w:rPr>
          <w:rFonts w:hint="eastAsia" w:ascii="Times New Roman" w:hAnsi="Times New Roman" w:eastAsia="仿宋_GB2312" w:cs="Times New Roman"/>
          <w:kern w:val="0"/>
          <w:sz w:val="30"/>
          <w:szCs w:val="30"/>
        </w:rPr>
        <w:t>1</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其他用车</w:t>
      </w:r>
      <w:r>
        <w:rPr>
          <w:rFonts w:hint="eastAsia" w:ascii="Times New Roman" w:hAnsi="Times New Roman" w:eastAsia="仿宋_GB2312" w:cs="Times New Roman"/>
          <w:kern w:val="0"/>
          <w:sz w:val="30"/>
          <w:szCs w:val="30"/>
        </w:rPr>
        <w:t>1</w:t>
      </w:r>
      <w:r>
        <w:rPr>
          <w:rFonts w:ascii="Times New Roman" w:hAnsi="Times New Roman" w:eastAsia="仿宋_GB2312" w:cs="Times New Roman"/>
          <w:kern w:val="0"/>
          <w:sz w:val="30"/>
          <w:szCs w:val="30"/>
        </w:rPr>
        <w:t>辆</w:t>
      </w:r>
      <w:r>
        <w:rPr>
          <w:rFonts w:hint="eastAsia" w:ascii="Times New Roman" w:hAnsi="Times New Roman" w:eastAsia="仿宋_GB2312" w:cs="Times New Roman"/>
          <w:kern w:val="0"/>
          <w:sz w:val="30"/>
          <w:szCs w:val="30"/>
        </w:rPr>
        <w:t>，其他用车主要包括</w:t>
      </w:r>
      <w:r>
        <w:rPr>
          <w:rFonts w:hint="eastAsia" w:ascii="Times New Roman" w:hAnsi="Times New Roman" w:eastAsia="仿宋_GB2312" w:cs="仿宋_GB2312"/>
          <w:sz w:val="30"/>
          <w:szCs w:val="30"/>
        </w:rPr>
        <w:t>计量检测工作用车</w:t>
      </w:r>
      <w:r>
        <w:rPr>
          <w:rFonts w:hint="eastAsia" w:ascii="Times New Roman" w:hAnsi="Times New Roman" w:eastAsia="仿宋_GB2312" w:cs="仿宋_GB2312"/>
          <w:kern w:val="0"/>
          <w:sz w:val="30"/>
          <w:szCs w:val="30"/>
          <w:lang w:val="zh-CN"/>
        </w:rPr>
        <w:t>。</w:t>
      </w:r>
      <w:r>
        <w:rPr>
          <w:rFonts w:hint="eastAsia" w:ascii="Times New Roman" w:hAnsi="Times New Roman" w:eastAsia="仿宋_GB2312" w:cs="仿宋_GB2312"/>
          <w:kern w:val="0"/>
          <w:sz w:val="30"/>
          <w:szCs w:val="30"/>
        </w:rPr>
        <w:t>单价</w:t>
      </w:r>
      <w:r>
        <w:rPr>
          <w:rFonts w:ascii="Times New Roman" w:hAnsi="Times New Roman" w:eastAsia="仿宋_GB2312" w:cs="仿宋_GB2312"/>
          <w:kern w:val="0"/>
          <w:sz w:val="30"/>
          <w:szCs w:val="30"/>
        </w:rPr>
        <w:t>100</w:t>
      </w:r>
      <w:r>
        <w:rPr>
          <w:rFonts w:hint="eastAsia" w:ascii="Times New Roman" w:hAnsi="Times New Roman" w:eastAsia="仿宋_GB2312" w:cs="仿宋_GB2312"/>
          <w:kern w:val="0"/>
          <w:sz w:val="30"/>
          <w:szCs w:val="30"/>
        </w:rPr>
        <w:t>万元以上的设备</w:t>
      </w:r>
      <w:r>
        <w:rPr>
          <w:rFonts w:hint="eastAsia" w:ascii="Times New Roman" w:hAnsi="Times New Roman" w:eastAsia="仿宋_GB2312" w:cs="Times New Roman"/>
          <w:kern w:val="0"/>
          <w:sz w:val="30"/>
          <w:szCs w:val="30"/>
        </w:rPr>
        <w:t>1</w:t>
      </w:r>
      <w:r>
        <w:rPr>
          <w:rFonts w:hint="eastAsia" w:ascii="Times New Roman" w:hAnsi="Times New Roman" w:eastAsia="仿宋_GB2312" w:cs="仿宋_GB2312"/>
          <w:kern w:val="0"/>
          <w:sz w:val="30"/>
          <w:szCs w:val="30"/>
        </w:rPr>
        <w:t>台（套）。</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十三、</w:t>
      </w:r>
      <w:r>
        <w:rPr>
          <w:rFonts w:hint="eastAsia" w:ascii="Times New Roman" w:hAnsi="Times New Roman" w:eastAsia="黑体" w:cs="黑体"/>
          <w:b/>
          <w:bCs/>
          <w:kern w:val="0"/>
          <w:sz w:val="30"/>
          <w:szCs w:val="30"/>
        </w:rPr>
        <w:t>预算绩效情况说明</w:t>
      </w:r>
    </w:p>
    <w:p>
      <w:pPr>
        <w:autoSpaceDE w:val="0"/>
        <w:autoSpaceDN w:val="0"/>
        <w:adjustRightInd w:val="0"/>
        <w:spacing w:line="600" w:lineRule="exact"/>
        <w:ind w:firstLine="600"/>
        <w:jc w:val="left"/>
        <w:rPr>
          <w:rFonts w:hint="default" w:ascii="Times New Roman" w:hAnsi="Times New Roman" w:eastAsia="仿宋_GB2312" w:cs="仿宋_GB2312"/>
          <w:b/>
          <w:kern w:val="0"/>
          <w:sz w:val="30"/>
          <w:szCs w:val="30"/>
          <w:lang w:val="en-US" w:eastAsia="zh-CN"/>
        </w:rPr>
      </w:pPr>
      <w:r>
        <w:rPr>
          <w:rFonts w:hint="eastAsia" w:ascii="Times New Roman" w:hAnsi="Times New Roman" w:eastAsia="仿宋_GB2312" w:cs="仿宋_GB2312"/>
          <w:sz w:val="30"/>
          <w:szCs w:val="30"/>
        </w:rPr>
        <w:t>根据预算绩效管理要求，天津市北辰区市场监督管理局2023年度已对21个项目开展绩效自评，涉及金额15218178.62元，自评结果已随部门决算一并公开</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lang w:eastAsia="zh-CN"/>
        </w:rPr>
        <w:t>对</w:t>
      </w:r>
      <w:r>
        <w:rPr>
          <w:rFonts w:hint="eastAsia" w:ascii="Times New Roman" w:hAnsi="Times New Roman" w:eastAsia="仿宋_GB2312" w:cs="仿宋_GB2312"/>
          <w:sz w:val="30"/>
          <w:szCs w:val="30"/>
          <w:lang w:val="en-US" w:eastAsia="zh-CN"/>
        </w:rPr>
        <w:t>0个项目开展财政评价。</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十四、</w:t>
      </w:r>
      <w:r>
        <w:rPr>
          <w:rFonts w:hint="eastAsia" w:ascii="Times New Roman" w:hAnsi="Times New Roman" w:eastAsia="黑体" w:cs="黑体"/>
          <w:b/>
          <w:bCs/>
          <w:kern w:val="0"/>
          <w:sz w:val="30"/>
          <w:szCs w:val="30"/>
        </w:rPr>
        <w:t>教育、医疗卫生、社会保障和就业、住房保障、涉农补贴等民生支出情况说明</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天津市北辰区市场监督管理局不属于乡、镇、街级单位，不涉及公开2023年度教育、医疗卫生、社会保障和就业、住房保障、涉农补贴等民生支出情况。</w:t>
      </w:r>
    </w:p>
    <w:p>
      <w:pPr>
        <w:autoSpaceDE w:val="0"/>
        <w:autoSpaceDN w:val="0"/>
        <w:adjustRightInd w:val="0"/>
        <w:jc w:val="left"/>
        <w:rPr>
          <w:rFonts w:ascii="Times New Roman" w:hAnsi="Times New Roman" w:eastAsia="仿宋_GB2312" w:cs="仿宋_GB2312"/>
          <w:b/>
          <w:bCs/>
          <w:color w:val="000000"/>
          <w:kern w:val="0"/>
          <w:sz w:val="30"/>
          <w:szCs w:val="30"/>
        </w:rPr>
      </w:pPr>
      <w:r>
        <w:rPr>
          <w:rFonts w:ascii="Times New Roman" w:hAnsi="Times New Roman" w:eastAsia="仿宋_GB2312" w:cs="仿宋_GB2312"/>
          <w:b/>
          <w:bCs/>
          <w:color w:val="000000"/>
          <w:kern w:val="0"/>
          <w:sz w:val="30"/>
          <w:szCs w:val="30"/>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第四部分名词解释</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1</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autoSpaceDE w:val="0"/>
        <w:autoSpaceDN w:val="0"/>
        <w:adjustRightInd w:val="0"/>
        <w:spacing w:line="600" w:lineRule="exact"/>
        <w:ind w:firstLine="600"/>
        <w:jc w:val="left"/>
        <w:rPr>
          <w:rFonts w:ascii="Times New Roman" w:hAnsi="Times New Roman"/>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D4EBC"/>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37423"/>
    <w:rsid w:val="00654D17"/>
    <w:rsid w:val="006623EC"/>
    <w:rsid w:val="006A094D"/>
    <w:rsid w:val="006D2409"/>
    <w:rsid w:val="006E65DB"/>
    <w:rsid w:val="00776FF3"/>
    <w:rsid w:val="0078156E"/>
    <w:rsid w:val="00786E74"/>
    <w:rsid w:val="007D1285"/>
    <w:rsid w:val="007E49E1"/>
    <w:rsid w:val="007F6DA7"/>
    <w:rsid w:val="008174D5"/>
    <w:rsid w:val="0083527F"/>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92610"/>
    <w:rsid w:val="00BC763A"/>
    <w:rsid w:val="00BC7D6F"/>
    <w:rsid w:val="00BD3CAC"/>
    <w:rsid w:val="00BF697A"/>
    <w:rsid w:val="00C52E77"/>
    <w:rsid w:val="00C65A44"/>
    <w:rsid w:val="00C76AC3"/>
    <w:rsid w:val="00C83EB4"/>
    <w:rsid w:val="00D4505A"/>
    <w:rsid w:val="00D65B41"/>
    <w:rsid w:val="00DC3234"/>
    <w:rsid w:val="00DC3CD0"/>
    <w:rsid w:val="00DD60B5"/>
    <w:rsid w:val="00E03C5D"/>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B74540"/>
    <w:rsid w:val="17C84C4C"/>
    <w:rsid w:val="1949378C"/>
    <w:rsid w:val="199A3054"/>
    <w:rsid w:val="1A1104E0"/>
    <w:rsid w:val="1A404E9F"/>
    <w:rsid w:val="1AA54268"/>
    <w:rsid w:val="1B173F14"/>
    <w:rsid w:val="1B4641B9"/>
    <w:rsid w:val="1B520DB0"/>
    <w:rsid w:val="1B5D5A1E"/>
    <w:rsid w:val="1B7A68EC"/>
    <w:rsid w:val="1CCA277E"/>
    <w:rsid w:val="1DFB572F"/>
    <w:rsid w:val="1EC5396A"/>
    <w:rsid w:val="1ECF542D"/>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4A2E0F"/>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B3D495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 w:val="FBBEB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Char"/>
    <w:basedOn w:val="8"/>
    <w:link w:val="2"/>
    <w:qFormat/>
    <w:uiPriority w:val="99"/>
    <w:rPr>
      <w:rFonts w:ascii="方正小标宋简体" w:eastAsia="方正小标宋简体"/>
      <w:kern w:val="0"/>
      <w:sz w:val="24"/>
      <w:szCs w:val="24"/>
    </w:rPr>
  </w:style>
  <w:style w:type="character" w:customStyle="1" w:styleId="10">
    <w:name w:val="标题 2 Char"/>
    <w:basedOn w:val="8"/>
    <w:link w:val="3"/>
    <w:qFormat/>
    <w:uiPriority w:val="99"/>
    <w:rPr>
      <w:rFonts w:ascii="方正小标宋简体" w:eastAsia="方正小标宋简体"/>
      <w:kern w:val="0"/>
      <w:sz w:val="24"/>
      <w:szCs w:val="24"/>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1570</Words>
  <Characters>8951</Characters>
  <Lines>74</Lines>
  <Paragraphs>20</Paragraphs>
  <TotalTime>8</TotalTime>
  <ScaleCrop>false</ScaleCrop>
  <LinksUpToDate>false</LinksUpToDate>
  <CharactersWithSpaces>10501</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2023-08-12T00:11:00Z</dcterms:created>
  <dc:creator>office</dc:creator>
  <cp:lastModifiedBy>admin</cp:lastModifiedBy>
  <dcterms:modified xsi:type="dcterms:W3CDTF">2024-09-14T14:30:34Z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A44E0A178634409BBBA50D5636087390_13</vt:lpwstr>
  </property>
</Properties>
</file>